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东阿县新型建材特色产业集群发展研究报告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东阿县新型建材特色产业集群位于聊城市东阿县，于2024年获批省级中小企业特色产业集群，是东阿县四大优势产业集群之一，与阿胶及“阿胶+”、生物医药、高端装备制造并列。集群以大桥工业园为主要承载地，依托黄河沿岸区位与交通优势，聚焦铝单板、铝塑板、铝蜂窝板、SPC石塑地板、水泥等新型建材产品的研发制造与商贸服务，形成以龙头企业牵引、中小企业协同发展的产业生态。总体看，该集群是东阿县落实黄河重大国家战略、推动传统产业向绿色低碳智能转型的重要载体。</w:t>
      </w:r>
    </w:p>
    <w:p>
      <w:pPr>
        <w:spacing w:lineRule="exact" w:line="600" w:after="0"/>
        <w:ind w:firstLine="420"/>
      </w:pPr>
      <w:r>
        <w:rPr>
          <w:rFonts w:ascii="仿宋_GB2312" w:hAnsi="仿宋_GB2312" w:eastAsia="仿宋_GB2312"/>
          <w:b w:val="0"/>
          <w:sz w:val="32"/>
        </w:rPr>
        <w:t>从产业属性看，集群属典型传统建材升级类产业，上游涵盖铝板基材、PVC树脂、天然碳酸钙粉、水泥熟料等原材料与配件，中游聚焦金属幕墙、装饰板材、石塑地板等产品制造，下游延伸至工程设计、安装施工、商贸物流与跨境电商服务。集群兼具材料加工与终端制品双重特征，产品广泛应用于建筑装饰、市政工程、家装工装等场景。需重点关注原材料价格波动与下游房地产周期对集群稳健发展的双向影响。</w:t>
      </w:r>
    </w:p>
    <w:p>
      <w:pPr>
        <w:spacing w:lineRule="exact" w:line="600" w:after="0"/>
        <w:ind w:firstLine="420"/>
      </w:pPr>
      <w:r>
        <w:rPr>
          <w:rFonts w:ascii="仿宋_GB2312" w:hAnsi="仿宋_GB2312" w:eastAsia="仿宋_GB2312"/>
          <w:b w:val="0"/>
          <w:sz w:val="32"/>
        </w:rPr>
        <w:t>集群行政归属清晰，由东阿县工业和信息化主管部门统筹，大桥镇承担主要承载功能，并积极对接聊城市绿色建材产业发展联盟实现市县联动。龙头企业东阿蓝天七色建材有限公司综合实力位居全国同行业前三名，拥有中国名牌与国际知名品牌，荣获山东省制造业单项冠军、山东省瞪羚企业、山东省绿色工厂等称号。东昌山水水泥、海天七彩、九为新材料等企业协同布局，构成“龙头引领、梯队配套”的企业矩阵。</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东阿县政府公开答复，2022年大桥工业园运营工业企业18家，完成营业收入12亿元，上缴税收6200万元，带动就业2000余人；截至2023年10月，园区工业总产值超过6亿元，上缴税金1.3亿元。龙头企业蓝天七色建材年均产值逾5亿元，是集群规模支撑的核心力量。从产业链看，新型建材已成为东阿县工业经济的重要增长极，但与“百亿新型建材产业园”目标相比，存量规模仍有较大提升空间。</w:t>
      </w:r>
    </w:p>
    <w:p>
      <w:pPr>
        <w:spacing w:lineRule="exact" w:line="600" w:after="0"/>
        <w:ind w:firstLine="420"/>
      </w:pPr>
      <w:r>
        <w:rPr>
          <w:rFonts w:ascii="仿宋_GB2312" w:hAnsi="仿宋_GB2312" w:eastAsia="仿宋_GB2312"/>
          <w:b w:val="0"/>
          <w:sz w:val="32"/>
        </w:rPr>
        <w:t>重点企业增量明显。山东瑞杰特新材料有限公司总投资3.5亿元、占地100亩，全面达产后可实现年产600万平方米SPC石塑地板、100万平方米LVT地板的产能规模，2025年上半年实现产值6400万元，全年有望突破1.8亿元。东阿蓝天七色建材2025年建筑装饰材料年产值达4.18亿元，预计2026年营业收入突破5.5亿元。据不完全统计，集群规上建材企业年营业收入合计已稳定在20亿元量级，呈稳步扩张态势。</w:t>
      </w:r>
    </w:p>
    <w:p>
      <w:pPr>
        <w:spacing w:lineRule="exact" w:line="600" w:after="0"/>
        <w:ind w:firstLine="420"/>
      </w:pPr>
      <w:r>
        <w:rPr>
          <w:rFonts w:ascii="仿宋_GB2312" w:hAnsi="仿宋_GB2312" w:eastAsia="仿宋_GB2312"/>
          <w:b w:val="0"/>
          <w:sz w:val="32"/>
        </w:rPr>
        <w:t>就业与税收贡献持续释放。集群以劳动与技术复合型人才需求为主，直接带动就业约2000人以上，并拉动物流、包装、电商等配套岗位。需重点关注园区合规化进程对新增产能落地的制约——受沿黄重点地区合规工业园区政策约束，大桥工业园未能列入合规园区，2家拟投资近5000万元的新型建材项目无法完成新建备案，成为规模进一步跃升的现实瓶颈。</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围绕“上游材料与配件、产品制造、商贸与服务”三大环节展开。上游材料与配件以铝板基材、水泥熟料、PVC树脂、天然碳酸钙粉及各类五金配件为主，依托山东山水水泥等企业的水泥产能与省外铝基材供应形成保障；产品制造聚焦铝单板、铝塑板、铝蜂窝板、A级防火板、SPC/LVT石塑地板等；商贸与服务涵盖工程设计、幕墙安装、跨境电商与物流配送。</w:t>
      </w:r>
    </w:p>
    <w:p>
      <w:pPr>
        <w:spacing w:lineRule="exact" w:line="600" w:after="0"/>
        <w:ind w:firstLine="420"/>
      </w:pPr>
      <w:r>
        <w:rPr>
          <w:rFonts w:ascii="仿宋_GB2312" w:hAnsi="仿宋_GB2312" w:eastAsia="仿宋_GB2312"/>
          <w:b w:val="0"/>
          <w:sz w:val="32"/>
        </w:rPr>
        <w:t>从产品谱系看，金属幕墙装饰材料是集群最具竞争力的细分领域。东阿蓝天七色建材的铝单板、铝塑板、铝蜂窝板主打高端定制，加工精度控制在0.2毫米以内，产品远销澳大利亚、埃及等40多个国家和地区。瑞杰特新材料的SPC石塑地板、LVT地板以零甲醛、防水防火为卖点，远销欧洲、东南亚等20余个国家和地区，外向度较高。水泥及常规建材则以服务鲁西本地市场为主。</w:t>
      </w:r>
    </w:p>
    <w:p>
      <w:pPr>
        <w:spacing w:lineRule="exact" w:line="600" w:after="0"/>
        <w:ind w:firstLine="420"/>
      </w:pPr>
      <w:r>
        <w:rPr>
          <w:rFonts w:ascii="仿宋_GB2312" w:hAnsi="仿宋_GB2312" w:eastAsia="仿宋_GB2312"/>
          <w:b w:val="0"/>
          <w:sz w:val="32"/>
        </w:rPr>
        <w:t>三大主导环节协同演进，呈现“材料本地化、制造智能化、服务外向化”特征。集群主动融入全国铝加工产业规划，依托龙头企业推动产业链向价值链高端攀升。需重点关注产品同质化竞争与房地产下行风险，引导企业向绿色建材、装配式装饰、定制化智造方向转型，避免低水平重复建设，巩固铝塑板等省级特色产品的领先优势。三大环节之间已初步形成较为稳定的协同关系。</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新型建材产业链上游包括铝板基材、水泥熟料、PVC树脂、天然碳酸钙粉等原材料与挤出、涂装等配件设备。东阿本地拥有东昌山水水泥等水泥产能，铝基材主要依托省内及周边供应；中游涵盖铝单板、铝塑板、铝蜂窝板、SPC/LVT地板、水泥制品的成型、复合、表面处理；下游为工程设计与安装、商贸物流、跨境电商。总体看，集群在制造环节链条较为完整，上游原料对外依赖度偏高。</w:t>
      </w:r>
    </w:p>
    <w:p>
      <w:pPr>
        <w:spacing w:lineRule="exact" w:line="600" w:after="0"/>
        <w:ind w:firstLine="420"/>
      </w:pPr>
      <w:r>
        <w:rPr>
          <w:rFonts w:ascii="仿宋_GB2312" w:hAnsi="仿宋_GB2312" w:eastAsia="仿宋_GB2312"/>
          <w:b w:val="0"/>
          <w:sz w:val="32"/>
        </w:rPr>
        <w:t>从配套能力看，集群已具备从基材复合、数控切割、智能喷涂到蜂窝板成型的一体化加工能力。蓝天七色引进激光智能装备切割生产线，设备更新后产能提升两到三倍；瑞杰特全套引进国际领先高分子地板双平生产线，生产效率提升20%以上。聊城绿色建材产业发展联盟有效打通大中小企业协同创新堵点，提升了本地配套率与产业链韧性。</w:t>
      </w:r>
    </w:p>
    <w:p>
      <w:pPr>
        <w:spacing w:lineRule="exact" w:line="600" w:after="0"/>
        <w:ind w:firstLine="420"/>
      </w:pPr>
      <w:r>
        <w:rPr>
          <w:rFonts w:ascii="仿宋_GB2312" w:hAnsi="仿宋_GB2312" w:eastAsia="仿宋_GB2312"/>
          <w:b w:val="0"/>
          <w:sz w:val="32"/>
        </w:rPr>
        <w:t>需重点关注上游原材料端的短板。铝板、树脂等核心基材本地供给不足，企业议价能力受外部市场影响明显；部分高端涂料、胶黏剂仍依赖外购。下游工程服务端虽已有设计安装能力，但一体化总包与品牌化工程服务能力仍偏弱。总体判断，集群处于“中游强、两端弱”的产业链格局，补链重点在上游材料本地化与下游服务集成化。中游制造环节的工艺配套已具备一定完整性。</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上游原材料本地配套不足。铝板基材、PVC树脂、高端涂料等主要依赖省外采购，物流与价格波动直接传导至生产成本，企业抗风险能力受限。二是研发设计环节偏弱，多数中小企业以模仿制造和代工为主，原创设计与品牌溢价能力不强，产品同质化现象在常规板材领域较为突出。需重点通过“一企一策”技改与产学研合作补齐能力短板。</w:t>
      </w:r>
    </w:p>
    <w:p>
      <w:pPr>
        <w:spacing w:lineRule="exact" w:line="600" w:after="0"/>
        <w:ind w:firstLine="420"/>
      </w:pPr>
      <w:r>
        <w:rPr>
          <w:rFonts w:ascii="仿宋_GB2312" w:hAnsi="仿宋_GB2312" w:eastAsia="仿宋_GB2312"/>
          <w:b w:val="0"/>
          <w:sz w:val="32"/>
        </w:rPr>
        <w:t>二是数字化水平不均衡。龙头企业在智能制造、行业大模型应用上走在前列，但广大中小企业设备自动化、管理信息化程度偏低，产业链数据采集与协同共享不足。东阿县已滚动实施建材类技改项目9个，新增省级单项冠军企业1家、创新型中小企业11家，但覆盖面仍有限，中小企业转型成本与人才瓶颈亟待破解。短板治理需坚持问题导向与系统观念相结合。</w:t>
      </w:r>
    </w:p>
    <w:p>
      <w:pPr>
        <w:spacing w:lineRule="exact" w:line="600" w:after="0"/>
        <w:ind w:firstLine="420"/>
      </w:pPr>
      <w:r>
        <w:rPr>
          <w:rFonts w:ascii="仿宋_GB2312" w:hAnsi="仿宋_GB2312" w:eastAsia="仿宋_GB2312"/>
          <w:b w:val="0"/>
          <w:sz w:val="32"/>
        </w:rPr>
        <w:t>三是园区合规化制约突出。受沿黄重点地区合规工业园区政策约束，大桥工业园未列入合规园区，新建工业项目无法备案，导致已签约的新型建材项目难以落地，制约产业链纵向延伸与横向集聚。该短板具有区域性政策属性，需上级在符合生态环保前提下研究出台支持存量工业集聚区升级的专项政策，方能疏通产业链堵点。短板治理需坚持问题导向与系统观念相结合。</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分布看，集群以制造加工环节为主，处于全球建材价值链的中游。铝单板、铝塑板等产品已具备一定品牌溢价，但多数常规建材仍停留在加工制造与成本竞争阶段，研发设计、标准制定、品牌运营等高附加值环节占比偏低，价值链整体呈“中间粗、两端细”形态。价值攀升需以创新驱动与品牌运营双轮驱动。高附加值环节的培育应列为集群战略重点。</w:t>
      </w:r>
    </w:p>
    <w:p>
      <w:pPr>
        <w:spacing w:lineRule="exact" w:line="600" w:after="0"/>
        <w:ind w:firstLine="420"/>
      </w:pPr>
      <w:r>
        <w:rPr>
          <w:rFonts w:ascii="仿宋_GB2312" w:hAnsi="仿宋_GB2312" w:eastAsia="仿宋_GB2312"/>
          <w:b w:val="0"/>
          <w:sz w:val="32"/>
        </w:rPr>
        <w:t>龙头企业正向价值链高端攀升。蓝天七色启动建材行业基于AI设计及模型驱动的智能制造示范工厂，其金属建材行业大模型入选省工业领域行业大模型揭榜挂帅项目；瑞杰特以环保石塑地板切入绿色建材赛道，产品远销海外，单位附加值高于传统板材。东阿蓝天七色联合山东大学攻关的“行业大模型”成功获批省重点攻关项目，标志着价值链向“数据+算法”端延伸。</w:t>
      </w:r>
    </w:p>
    <w:p>
      <w:pPr>
        <w:spacing w:lineRule="exact" w:line="600" w:after="0"/>
        <w:ind w:firstLine="420"/>
      </w:pPr>
      <w:r>
        <w:rPr>
          <w:rFonts w:ascii="仿宋_GB2312" w:hAnsi="仿宋_GB2312" w:eastAsia="仿宋_GB2312"/>
          <w:b w:val="0"/>
          <w:sz w:val="32"/>
        </w:rPr>
        <w:t>需重点关注价值链攀升的可持续性。当前高端突破主要依赖少数龙头企业，广大中小企业尚未形成价值共创机制。应通过“链主”企业带动、产业联盟协同、公共服务平台赋能，推动更多企业从代工制造向“设计+品牌+服务”转型，提升集群整体在全球价值链中的分工位势与议价能力，避免长期锁定在低附加值区间。价值攀升需以创新驱动与品牌运营双轮驱动。</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龙头引领、专业配套”的分工格局。蓝天七色聚焦高端金属幕墙定制与海外订单，东昌山水水泥主攻水泥及常规建材，瑞杰特专攻石塑地板细分，海天七彩、九为新材料等承接差异化板材与结构件制造，中小企业围绕龙头从事喷涂、五金、包装、物流等配套，专业化分工提升了集群整体生产效率。专业分工显著提升了集群整体生产效率。</w:t>
      </w:r>
    </w:p>
    <w:p>
      <w:pPr>
        <w:spacing w:lineRule="exact" w:line="600" w:after="0"/>
        <w:ind w:firstLine="420"/>
      </w:pPr>
      <w:r>
        <w:rPr>
          <w:rFonts w:ascii="仿宋_GB2312" w:hAnsi="仿宋_GB2312" w:eastAsia="仿宋_GB2312"/>
          <w:b w:val="0"/>
          <w:sz w:val="32"/>
        </w:rPr>
        <w:t>从区域分工看，东阿新型建材集群与聊城冠县镀涂钢板、东昌府区山水水泥、茌平信源环保建材等形成市内错位协同。聊城市将东阿新型建材列入省级特色产业集群重点支持，组建绿色建材产业发展联盟统筹成员单位，推动“链主引领、大中小企业融通”的市域分工体系，避免同质化内耗。专业分工显著提升了集群整体生产效率。稳定契约配套是深化分工的关键制度保障。</w:t>
      </w:r>
    </w:p>
    <w:p>
      <w:pPr>
        <w:spacing w:lineRule="exact" w:line="600" w:after="0"/>
        <w:ind w:firstLine="420"/>
      </w:pPr>
      <w:r>
        <w:rPr>
          <w:rFonts w:ascii="仿宋_GB2312" w:hAnsi="仿宋_GB2312" w:eastAsia="仿宋_GB2312"/>
          <w:b w:val="0"/>
          <w:sz w:val="32"/>
        </w:rPr>
        <w:t>需重点关注分工深化与协作机制建设。当前中小企业与龙头的配套多为零散订单式，长期契约化、模块化配套关系不稳固。应依托产业联盟与“链长制”，引导构建“龙头企业+专精特新配套”的稳定分工网络，推动工序分解与产能共享，提升集群内部协作密度与抗风险能力，形成有机共生而非简单集聚的产业生态。专业分工显著提升了集群整体生产效率。</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公开数据，2022年大桥工业园运营工业企业18家，带动就业2000余人，形成以龙头为引领、中小企业协同的规模结构。龙头企业蓝天七色年均产值逾5亿元，瑞杰特全面达产后年产值有望接近2亿元，构成第一梯队；东昌山水水泥、海天七彩、九为新材料等构成中坚层；其余为配套型中小企业。总体看，集群呈“金字塔型”规模结构，但中坚企业数量偏少。</w:t>
      </w:r>
    </w:p>
    <w:p>
      <w:pPr>
        <w:spacing w:lineRule="exact" w:line="600" w:after="0"/>
        <w:ind w:firstLine="420"/>
      </w:pPr>
      <w:r>
        <w:rPr>
          <w:rFonts w:ascii="仿宋_GB2312" w:hAnsi="仿宋_GB2312" w:eastAsia="仿宋_GB2312"/>
          <w:b w:val="0"/>
          <w:sz w:val="32"/>
        </w:rPr>
        <w:t>从产值分布看，年产值过亿元企业相对集中，但广大中小企业普遍规模偏小、抗周期能力弱。东阿县已新增建材类省级单项冠军企业1家、创新型中小企业11家，显示优质中小企业梯队正在发育。需重点关注“规上企业”培育，推动更多中小企业上规模、上水平，弥合龙头与配套之间的断层，夯实集群规模底座。规模结构的优化依赖于存量提质与增量扩容。</w:t>
      </w:r>
    </w:p>
    <w:p>
      <w:pPr>
        <w:spacing w:lineRule="exact" w:line="600" w:after="0"/>
        <w:ind w:firstLine="420"/>
      </w:pPr>
      <w:r>
        <w:rPr>
          <w:rFonts w:ascii="仿宋_GB2312" w:hAnsi="仿宋_GB2312" w:eastAsia="仿宋_GB2312"/>
          <w:b w:val="0"/>
          <w:sz w:val="32"/>
        </w:rPr>
        <w:t>规模结构优化的关键在于增量项目落地。受合规园区政策约束，部分拟投资近5000万元的新型建材项目无法备案，限制了中坚企业扩容。应借力“百亿新型建材产业园”目标，在合规前提下优先保障优质增量项目用地与能耗指标，推动企业规模结构从“少数独大”向“龙头+中坚+配套”的橄榄型结构演进。规模结构的优化依赖于存量提质与增量扩容。</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经济为主体，混合所有制与国有成分并存。龙头企业蓝天七色、瑞杰特、海天七彩、九为新材料等均为民营控股，机制灵活、市场敏感度高；东昌山水水泥为山水水泥集团体系内企业，具股份制背景。总体看，民营资本主导的产权结构有利于快速响应市场，但也带来研发投入波动、长期资本不足等潜在问题。民营主导的产权结构带来机制灵活的优势。</w:t>
      </w:r>
    </w:p>
    <w:p>
      <w:pPr>
        <w:spacing w:lineRule="exact" w:line="600" w:after="0"/>
        <w:ind w:firstLine="420"/>
      </w:pPr>
      <w:r>
        <w:rPr>
          <w:rFonts w:ascii="仿宋_GB2312" w:hAnsi="仿宋_GB2312" w:eastAsia="仿宋_GB2312"/>
          <w:b w:val="0"/>
          <w:sz w:val="32"/>
        </w:rPr>
        <w:t>从资本来源看，企业资金主要依赖自有积累、银行信贷与招商引资。东阿县通过“一企一策”引导企业技改升级，并对优质项目给予政策支持；聊城市绿色建材产业联盟促进成员间资本与产能协作。需重点关注中小企业融资渠道单一问题，应强化政府性融资担保、产业基金等工具，改善产权结构中的资本约束。民营主导的产权结构带来机制灵活的优势。</w:t>
      </w:r>
    </w:p>
    <w:p>
      <w:pPr>
        <w:spacing w:lineRule="exact" w:line="600" w:after="0"/>
        <w:ind w:firstLine="420"/>
      </w:pPr>
      <w:r>
        <w:rPr>
          <w:rFonts w:ascii="仿宋_GB2312" w:hAnsi="仿宋_GB2312" w:eastAsia="仿宋_GB2312"/>
          <w:b w:val="0"/>
          <w:sz w:val="32"/>
        </w:rPr>
        <w:t>外资与跨区域资本参与度较低，集群对外开放以产品出口为主、资本引入为辅。蓝天七色、瑞杰特产品远销海外，但境外直接投资与合资制造尚处起步。应鼓励龙头企业通过并购、合资等方式引入战略资本，优化产权结构，提升治理水平与国际市场开拓能力，推动集群从“产品出海”向“资本+产能出海”升级。民营主导的产权结构带来机制灵活的优势。</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东阿蓝天七色建材有限公司是集群绝对龙头，综合实力位居全国同行业前三名，拥有中国名牌与国际知名品牌，获评山东省制造业单项冠军、山东省瞪羚企业、山东省绿色工厂。2025年建筑装饰材料年产值达4.18亿元，预计2026年营收突破5.5亿元；产品远销澳大利亚、埃及等40多个国家和地区，是集群规模与品牌的核心支撑。</w:t>
      </w:r>
    </w:p>
    <w:p>
      <w:pPr>
        <w:spacing w:lineRule="exact" w:line="600" w:after="0"/>
        <w:ind w:firstLine="420"/>
      </w:pPr>
      <w:r>
        <w:rPr>
          <w:rFonts w:ascii="仿宋_GB2312" w:hAnsi="仿宋_GB2312" w:eastAsia="仿宋_GB2312"/>
          <w:b w:val="0"/>
          <w:sz w:val="32"/>
        </w:rPr>
        <w:t>山东瑞杰特新材料有限公司是集群绿色智造新势力，总投资3.5亿元、占地100亩，年产600万平方米SPC石塑地板、100万平方米LVT地板，2025年上半年产值6400万元、全年有望破1.8亿元，产品远销欧洲、东南亚20余国。其“腾笼换鸟”盘活低效用地的模式，成为传统建材绿色转型的标杆。头部企业的溢出效应是集群成长的重要动力。</w:t>
      </w:r>
    </w:p>
    <w:p>
      <w:pPr>
        <w:spacing w:lineRule="exact" w:line="600" w:after="0"/>
        <w:ind w:firstLine="420"/>
      </w:pPr>
      <w:r>
        <w:rPr>
          <w:rFonts w:ascii="仿宋_GB2312" w:hAnsi="仿宋_GB2312" w:eastAsia="仿宋_GB2312"/>
          <w:b w:val="0"/>
          <w:sz w:val="32"/>
        </w:rPr>
        <w:t>东昌山水水泥作为水泥领域骨干，承担上游基材供给功能；海天七彩、九为新材料等聚焦差异化板材与结构件。头部企业普遍具备智能升级意愿，蓝天七色联合山东大学攻关行业大模型、启动AI驱动智能制造示范工厂，引领本地金属建材行业纵深发展。需持续强化头部企业“链主”带动与溢出效应。头部企业的溢出效应是集群成长的重要动力。</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以大桥工业园为主要空间载体，呈现“园区集中、沿黄布局”的集聚特征。2022年园区工业企业18家，营收12亿元，税收6200万元，就业2000余人，单位用地产出在县级工业园中居前列。企业地理临近降低了物流与协作成本，形成原材料共享、订单协作、人才流动的集聚外部性。地理临近降低了企业的协作与物流成本。</w:t>
      </w:r>
    </w:p>
    <w:p>
      <w:pPr>
        <w:spacing w:lineRule="exact" w:line="600" w:after="0"/>
        <w:ind w:firstLine="420"/>
      </w:pPr>
      <w:r>
        <w:rPr>
          <w:rFonts w:ascii="仿宋_GB2312" w:hAnsi="仿宋_GB2312" w:eastAsia="仿宋_GB2312"/>
          <w:b w:val="0"/>
          <w:sz w:val="32"/>
        </w:rPr>
        <w:t>集聚呈现“链式集聚”而非单纯地理扎堆。围绕铝塑板、石塑地板等细分品类，上下游企业在园区内形成从基材复合到智能喷涂、从包装到物流的紧凑配套。聊城绿色建材产业联盟进一步将集聚范围扩展至全市，实现“园区内配套+市域内协同”的复合集聚形态，提升了整体产业链韧性。地理临近降低了企业的协作与物流成本。集聚质量提升比单纯企业数量增长更为重要。</w:t>
      </w:r>
    </w:p>
    <w:p>
      <w:pPr>
        <w:spacing w:lineRule="exact" w:line="600" w:after="0"/>
        <w:ind w:firstLine="420"/>
      </w:pPr>
      <w:r>
        <w:rPr>
          <w:rFonts w:ascii="仿宋_GB2312" w:hAnsi="仿宋_GB2312" w:eastAsia="仿宋_GB2312"/>
          <w:b w:val="0"/>
          <w:sz w:val="32"/>
        </w:rPr>
        <w:t>需重点关注集聚质量的提升。当前集聚仍受合规园区身份缺失制约，新增企业难以入园，存量企业扩产受限。应推动园区合规化认定或“飞地”合作，释放集聚空间；同时强化公共服务平台入园，提升集聚密度与协同水平，避免企业“聚而不链、链而不群”的低效状态。地理临近降低了企业的协作与物流成本。集聚质量提升比单纯企业数量增长更为重要。</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据东阿县公开信息，县里滚动实施建材类技改项目9个，新增建材类省级单项冠军企业1家、创新型中小企业11家，反映企业研发与技改投入稳步增长。龙头企业蓝天七色、瑞杰特持续投入智能生产线与工艺升级，瑞杰特引进国际领先双平生产线使效率提升20%以上，蓝天七色设备更新后产能提升两到三倍，研发投入转化为现实产能。</w:t>
      </w:r>
    </w:p>
    <w:p>
      <w:pPr>
        <w:spacing w:lineRule="exact" w:line="600" w:after="0"/>
        <w:ind w:firstLine="420"/>
      </w:pPr>
      <w:r>
        <w:rPr>
          <w:rFonts w:ascii="仿宋_GB2312" w:hAnsi="仿宋_GB2312" w:eastAsia="仿宋_GB2312"/>
          <w:b w:val="0"/>
          <w:sz w:val="32"/>
        </w:rPr>
        <w:t>从投入结构看，研发主要投向智能装备、绿色工艺与数字化管理。聊城市住建局推动“一链一院”合作，东阿蓝天七色联合山东大学攻关“行业大模型”获批省重点攻关项目，标志产学研协同研发机制落地。但广大中小企业研发投入强度仍偏低，依赖设备引进多于自主创新，整体研发强度与发达地区的先进建材集群尚有差距。研发投入强度决定集群长期竞争力强弱。</w:t>
      </w:r>
    </w:p>
    <w:p>
      <w:pPr>
        <w:spacing w:lineRule="exact" w:line="600" w:after="0"/>
        <w:ind w:firstLine="420"/>
      </w:pPr>
      <w:r>
        <w:rPr>
          <w:rFonts w:ascii="仿宋_GB2312" w:hAnsi="仿宋_GB2312" w:eastAsia="仿宋_GB2312"/>
          <w:b w:val="0"/>
          <w:sz w:val="32"/>
        </w:rPr>
        <w:t>需重点关注研发投入的均衡与可持续。应借助省市技改奖补、首台套保险补偿等政策，激励中小企业加大研发；依托绿色建材产业联盟与高校智库建立“巡链诊链”机制，累计为企业解决技术升级等难题，将专家资源转化为生产力，推动研发从“龙头独舞”向“全员共舞”转变。研发投入强度决定集群长期竞争力强弱。产学研协同是弥补中小企业研发短板的有效路。</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体现为产品升级与荣誉资质双线突破。蓝天七色获山东省制造业单项冠军、瞪羚企业、绿色工厂，其金属建材行业大模型入选省工业领域行业大模型揭榜挂帅项目；瑞杰特石塑地板以零甲醛、防水防火切入绿色赛道并出口海外；东阿县新增建材类省级单项冠军1家、创新型中小企业11家，显示创新产出的群体性提升。创新产出应更重视质量而非单纯数量增长。</w:t>
      </w:r>
    </w:p>
    <w:p>
      <w:pPr>
        <w:spacing w:lineRule="exact" w:line="600" w:after="0"/>
        <w:ind w:firstLine="420"/>
      </w:pPr>
      <w:r>
        <w:rPr>
          <w:rFonts w:ascii="仿宋_GB2312" w:hAnsi="仿宋_GB2312" w:eastAsia="仿宋_GB2312"/>
          <w:b w:val="0"/>
          <w:sz w:val="32"/>
        </w:rPr>
        <w:t>从知识产权与标准看，龙头企业具备中国名牌与国际知名品牌，在高端定制幕墙领域形成工艺壁垒。但集群整体高价值专利、主导或参与行业标准数量仍偏少，中小企业原创设计能力不足，创新产出以“工艺改进+产能提升”为主，基础材料与核心装备的原始创新有待加强。创新产出应更重视质量而非单纯数量增长。标准话语权是创新价值市场化的重要体现。</w:t>
      </w:r>
    </w:p>
    <w:p>
      <w:pPr>
        <w:spacing w:lineRule="exact" w:line="600" w:after="0"/>
        <w:ind w:firstLine="420"/>
      </w:pPr>
      <w:r>
        <w:rPr>
          <w:rFonts w:ascii="仿宋_GB2312" w:hAnsi="仿宋_GB2312" w:eastAsia="仿宋_GB2312"/>
          <w:b w:val="0"/>
          <w:sz w:val="32"/>
        </w:rPr>
        <w:t>需以创新产出反哺价值链攀升。应鼓励龙头企业将行业大模型、智能工厂经验向配套企业输出，形成“示范—复制”的产出扩散机制；支持企业参与绿色建材产品认证与标准制定，把工艺优势转化为标准话语权和品牌溢价，提升创新产出的市场转化率与集群整体竞争力。创新产出应更重视质量而非单纯数量增长。标准话语权是创新价值市场化的重要体现。</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与产学研联合体为主。蓝天七色联合山东大学攻关行业大模型，东阿县借助济南市历下区高校资源帮助企业解决技术升级难题；聊城市住建局深化“一链一院”合作，与中国建筑科学研究院、聊城大学建立常态化“巡链诊链”机制，累计解决技术升级、产品认证等难题，构成开放式创新平台支撑。公共平台供给不足制约了创新资源共享。</w:t>
      </w:r>
    </w:p>
    <w:p>
      <w:pPr>
        <w:spacing w:lineRule="exact" w:line="600" w:after="0"/>
        <w:ind w:firstLine="420"/>
      </w:pPr>
      <w:r>
        <w:rPr>
          <w:rFonts w:ascii="仿宋_GB2312" w:hAnsi="仿宋_GB2312" w:eastAsia="仿宋_GB2312"/>
          <w:b w:val="0"/>
          <w:sz w:val="32"/>
        </w:rPr>
        <w:t>从平台层级看，目前以省级攻关项目、企业级研发中心为主，缺乏国家级创新平台与独立建制的产业研究院。聊城绿色建材产业发展联盟发挥协同创新平台作用，但实体化、常态化运营能力有待强化。相较省内先进材料集群，东阿新型建材在公共检测、中试熟化、设计共享等平台供给上仍有缺口。公共平台供给不足制约了创新资源共享。应谋划建设实体化运作的产业创新平台。</w:t>
      </w:r>
    </w:p>
    <w:p>
      <w:pPr>
        <w:spacing w:lineRule="exact" w:line="600" w:after="0"/>
        <w:ind w:firstLine="420"/>
      </w:pPr>
      <w:r>
        <w:rPr>
          <w:rFonts w:ascii="仿宋_GB2312" w:hAnsi="仿宋_GB2312" w:eastAsia="仿宋_GB2312"/>
          <w:b w:val="0"/>
          <w:sz w:val="32"/>
        </w:rPr>
        <w:t>应谋划建设新型建材公共创新平台。依托“百亿新型建材产业园”目标，联合高校院所共建绿色建材中试基地与工业设计中心，承接“链主”企业的行业大模型能力对外赋能；争取省级制造业创新中心布局，弥补平台层级短板，形成“企业研发+公共平台+联盟协同”的多层创新支撑体系。公共平台供给不足制约了创新资源共享。应谋划建设实体化运作的产业创新平台。</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路径以“企业技改—产能释放—市场验证”为主线。瑞杰特从低效闲置地块腾笼换鸟，6个月竣工投产、当年见效，双平生产线转化效率提升20%以上；蓝天七色设备更新后产能提升两到三倍，并借AI设计模型驱动示范工厂落地，体现“研发即转化”的敏捷特征，转化周期显著短于传统建材企业。缩短技术到产线的距离是转化核心诉求。</w:t>
      </w:r>
    </w:p>
    <w:p>
      <w:pPr>
        <w:spacing w:lineRule="exact" w:line="600" w:after="0"/>
        <w:ind w:firstLine="420"/>
      </w:pPr>
      <w:r>
        <w:rPr>
          <w:rFonts w:ascii="仿宋_GB2312" w:hAnsi="仿宋_GB2312" w:eastAsia="仿宋_GB2312"/>
          <w:b w:val="0"/>
          <w:sz w:val="32"/>
        </w:rPr>
        <w:t>从转化载体看，聊城市“七个一”工作机制与“一企一策”方案，为技术转化提供组织保障。东阿县已滚动实施建材类技改项目9个，将专家诊链成果直接导入生产线。但中小企业受资金与人才制约，转化能力弱，大量工艺方案难以在中小主体落地。缩短技术到产线的距离是转化核心诉求。普惠性转化通道惠及广大中小企业发展。成熟技术共享可显著降低中小企业转型门槛。</w:t>
      </w:r>
    </w:p>
    <w:p>
      <w:pPr>
        <w:spacing w:lineRule="exact" w:line="600" w:after="0"/>
        <w:ind w:firstLine="420"/>
      </w:pPr>
      <w:r>
        <w:rPr>
          <w:rFonts w:ascii="仿宋_GB2312" w:hAnsi="仿宋_GB2312" w:eastAsia="仿宋_GB2312"/>
          <w:b w:val="0"/>
          <w:sz w:val="32"/>
        </w:rPr>
        <w:t>需构建普惠性技术转化通道。应发挥绿色建材产业联盟的纽带作用，建立“龙头企业开放场景+中小企业对接需求”的转化机制；推动行业大模型、智能喷涂等成熟技术在联盟内共享复用，降低中小企业转化门槛；探索“技改贷+首台套保险”组合工具，缩短从技术到产线的距离，提升整体转化效率。缩短技术到产线的距离是转化核心诉求。</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本地产业工人为主，兼需技术研发与设计人才。据公开数据，2022年大桥工业园带动就业2000余人，涵盖生产操作、设备运维、质量检测、电商运营等岗位。东阿县通过“一企一策”与高校资源对接，缓解技术升级带来的人才缺口，但高端设计、算法建模、外贸营销等复合型人才仍显不足。复合型人才的引育是转型的重要前置条件。</w:t>
      </w:r>
    </w:p>
    <w:p>
      <w:pPr>
        <w:spacing w:lineRule="exact" w:line="600" w:after="0"/>
        <w:ind w:firstLine="420"/>
      </w:pPr>
      <w:r>
        <w:rPr>
          <w:rFonts w:ascii="仿宋_GB2312" w:hAnsi="仿宋_GB2312" w:eastAsia="仿宋_GB2312"/>
          <w:b w:val="0"/>
          <w:sz w:val="32"/>
        </w:rPr>
        <w:t>从技能结构看，传统制造工种充足，智能装备操作与数字化管理人才紧缺。龙头企业通过内部培养与外部引进并举，但中小企业培训投入有限，制约智能化改造落地。需重点关注“机器换人”背景下的技能再培训，避免结构性用工错配，以人才红利支撑集群向绿色智造转型。复合型人才的引育是转型的重要前置条件。技能再培训应跟上智能化改造的节奏。</w:t>
      </w:r>
    </w:p>
    <w:p>
      <w:pPr>
        <w:spacing w:lineRule="exact" w:line="600" w:after="0"/>
        <w:ind w:firstLine="420"/>
      </w:pPr>
      <w:r>
        <w:rPr>
          <w:rFonts w:ascii="仿宋_GB2312" w:hAnsi="仿宋_GB2312" w:eastAsia="仿宋_GB2312"/>
          <w:b w:val="0"/>
          <w:sz w:val="32"/>
        </w:rPr>
        <w:t>应完善劳动力供给体系。依托聊城大学、山东大学等高校资源开展订单培养，借助绿色建材产业联盟组织设计、生产、营销人才培训；落实高素质产业工人技能提升政策，建立“引育用留”全链条机制，以人才供给对冲成本压力，支撑集群高质量发展。复合型人才的引育是转型的重要前置条件。技能再培训应跟上智能化改造的节奏。劳动力结构优化支撑集群向绿色智造迈进。</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银行信贷、自有积累与招商引资为主。东阿县设立技改奖补与“一企一策”扶持，聊城市绿色建材产业联盟促进成员产能与资本协作。龙头企业融资能力较强，但中小企业普遍面临抵押不足、期限错配，融资渠道单一，制约技改与新品开发。拓宽融资渠道是缓解资本约束的根本举措。存量用地撬动投资凸显了资本配置效率。应引导资本向高附加值环节有序集聚。</w:t>
      </w:r>
    </w:p>
    <w:p>
      <w:pPr>
        <w:spacing w:lineRule="exact" w:line="600" w:after="0"/>
        <w:ind w:firstLine="420"/>
      </w:pPr>
      <w:r>
        <w:rPr>
          <w:rFonts w:ascii="仿宋_GB2312" w:hAnsi="仿宋_GB2312" w:eastAsia="仿宋_GB2312"/>
          <w:b w:val="0"/>
          <w:sz w:val="32"/>
        </w:rPr>
        <w:t>从资本效率看，瑞杰特“腾笼换鸟”盘活100亩低效闲置用地，以存量空间撬动3.5亿元投资，资本产出效率突出。但合规园区政策约束使部分拟投资近5000万元项目无法备案，资本形成受阻。需创新“飞地”、标准厂房、产业基金等工具，引导资本向高附加值环节集聚，提升单位资本产出。拓宽融资渠道是缓解资本约束的根本举措。</w:t>
      </w:r>
    </w:p>
    <w:p>
      <w:pPr>
        <w:spacing w:lineRule="exact" w:line="600" w:after="0"/>
        <w:ind w:firstLine="420"/>
      </w:pPr>
      <w:r>
        <w:rPr>
          <w:rFonts w:ascii="仿宋_GB2312" w:hAnsi="仿宋_GB2312" w:eastAsia="仿宋_GB2312"/>
          <w:b w:val="0"/>
          <w:sz w:val="32"/>
        </w:rPr>
        <w:t>应拓宽多层次资本供给。推广“技改贷”“供应链金融”，发挥政府性融资担保工具作用；探索设立绿色建材产业基金，支持“链主”企业并购与中小企业“专精特新”培育；鼓励龙头企业对接资本市场，以股权融资优化资本结构，缓解长期资本约束，增强集群抗周期能力。拓宽融资渠道是缓解资本约束的根本举措。存量用地撬动投资凸显了资本配置效率。</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是集群最突出的约束要素。受沿黄重点地区合规工业园区政策限制，大桥工业园未列入合规园区，新建项目无法备案，2家拟投资近5000万元新型建材项目受阻。东阿县以“腾笼换鸟”盘活低效闲置用地，向存量要空间，成为破题关键路径。土地要素瓶颈是集群当前最突出的约束。绿色智造是降低单位能耗强度的有效路径。要素精准配置支撑百亿园区目标落地。</w:t>
      </w:r>
    </w:p>
    <w:p>
      <w:pPr>
        <w:spacing w:lineRule="exact" w:line="600" w:after="0"/>
        <w:ind w:firstLine="420"/>
      </w:pPr>
      <w:r>
        <w:rPr>
          <w:rFonts w:ascii="仿宋_GB2312" w:hAnsi="仿宋_GB2312" w:eastAsia="仿宋_GB2312"/>
          <w:b w:val="0"/>
          <w:sz w:val="32"/>
        </w:rPr>
        <w:t>从能耗看，新型建材属能耗敏感行业，铝板涂装、水泥粉磨等环节耗能较高。集群推进绿色工厂与节能改造，蓝天七色获评山东省绿色工厂；但整体能耗强度仍受“双碳”约束。需以绿色智造降低单位能耗，争取能耗指标向高效产能倾斜，在生态优先前提下实现规模有序扩张。土地要素瓶颈是集群当前最突出的约束。绿色智造是降低单位能耗强度的有效路径。</w:t>
      </w:r>
    </w:p>
    <w:p>
      <w:pPr>
        <w:spacing w:lineRule="exact" w:line="600" w:after="0"/>
        <w:ind w:firstLine="420"/>
      </w:pPr>
      <w:r>
        <w:rPr>
          <w:rFonts w:ascii="仿宋_GB2312" w:hAnsi="仿宋_GB2312" w:eastAsia="仿宋_GB2312"/>
          <w:b w:val="0"/>
          <w:sz w:val="32"/>
        </w:rPr>
        <w:t>应系统优化土地能耗配置。推动园区合规化认定或“飞地园区”合作，释放增量用地；严控高耗能低附加值产能，引导能耗与用地指标向绿色建材、石塑地板等高效项目集中；推行“标准地”与弹性年期供应，提升要素配置精准度，支撑“百亿新型建材产业园”目标稳步落地。土地要素瓶颈是集群当前最突出的约束。绿色智造是降低单位能耗强度的有效路径。</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上游原材料以铝板基材、水泥熟料、PVC树脂、天然碳酸钙粉为主。东阿本地拥有东昌山水水泥等水泥产能，天然碳酸钙粉可就近获取；但铝板基材、PVC树脂、高端涂料胶黏剂主要依赖省外及周边采购，原料对外依存度高，供应链稳定性与成本控制受外部市场波动影响明显。原料本地化配套率偏低影响成本竞争力。多元化供应渠道可降低单一来源风险。</w:t>
      </w:r>
    </w:p>
    <w:p>
      <w:pPr>
        <w:spacing w:lineRule="exact" w:line="600" w:after="0"/>
        <w:ind w:firstLine="420"/>
      </w:pPr>
      <w:r>
        <w:rPr>
          <w:rFonts w:ascii="仿宋_GB2312" w:hAnsi="仿宋_GB2312" w:eastAsia="仿宋_GB2312"/>
          <w:b w:val="0"/>
          <w:sz w:val="32"/>
        </w:rPr>
        <w:t>从资源保障看，PVC树脂与天然碳酸钙粉属大宗商品，省内供应相对充裕；铝基材依托山东及邻近省份铝加工产业，运输半径可控。但高端装饰原纸、特种涂层仍需外购，原料本地化配套率偏低，制约成本优势与快速响应能力。需通过招商补链引入基材与涂料配套，提升供应链韧性。原料本地化配套率偏低影响成本竞争力。多元化供应渠道可降低单一来源风险。</w:t>
      </w:r>
    </w:p>
    <w:p>
      <w:pPr>
        <w:spacing w:lineRule="exact" w:line="600" w:after="0"/>
        <w:ind w:firstLine="420"/>
      </w:pPr>
      <w:r>
        <w:rPr>
          <w:rFonts w:ascii="仿宋_GB2312" w:hAnsi="仿宋_GB2312" w:eastAsia="仿宋_GB2312"/>
          <w:b w:val="0"/>
          <w:sz w:val="32"/>
        </w:rPr>
        <w:t>应强化原材料资源保障体系建设。依托聊城绿色建材产业联盟推动“集采+储备”机制，平抑价格波动；围绕铝塑板、石塑地板延链招引基材与功能助剂项目，提升本地配套率；支持企业建立多元化供应渠道与战略库存，降低单一来源风险，筑牢集群稳健运行的资源底座。原料本地化配套率偏低影响成本竞争力。多元化供应渠道可降低单一来源风险。</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中，水泥及常规建材主要服务鲁西及周边基建与地产需求；铝单板、铝塑板等装饰板材面向全国建筑幕墙与工装市场，蓝天七色高端定制产品进入重点工程。据行业普遍水平，新型建材国内需求与房地产、基建周期高度相关，当前地产调整对常规板材形成压力，倒逼企业转向公建、旧改与装配式装饰赛道。需求结构变化引导企业调整市场重心。</w:t>
      </w:r>
    </w:p>
    <w:p>
      <w:pPr>
        <w:spacing w:lineRule="exact" w:line="600" w:after="0"/>
        <w:ind w:firstLine="420"/>
      </w:pPr>
      <w:r>
        <w:rPr>
          <w:rFonts w:ascii="仿宋_GB2312" w:hAnsi="仿宋_GB2312" w:eastAsia="仿宋_GB2312"/>
          <w:b w:val="0"/>
          <w:sz w:val="32"/>
        </w:rPr>
        <w:t>从渠道看，集群以工程直销与经销商网络为主，电商平台逐步渗透。东阿县推动“七色智造”App实现从客户需求到生产交付全流程数字化管理，提升国内订单响应效率。需重点关注国内需求结构变化，引导企业把握城市更新、乡村振兴、绿色建筑等政策窗口，拓展非地产类增量市场。需求结构变化引导企业调整市场重心。绿色建材政策窗口带来新的增量空间。</w:t>
      </w:r>
    </w:p>
    <w:p>
      <w:pPr>
        <w:spacing w:lineRule="exact" w:line="600" w:after="0"/>
        <w:ind w:firstLine="420"/>
      </w:pPr>
      <w:r>
        <w:rPr>
          <w:rFonts w:ascii="仿宋_GB2312" w:hAnsi="仿宋_GB2312" w:eastAsia="仿宋_GB2312"/>
          <w:b w:val="0"/>
          <w:sz w:val="32"/>
        </w:rPr>
        <w:t>应深耕国内细分市场。依托山东绿色建材应用比例提升至40%、装配式建筑增长的趋势，推动铝塑板、石塑地板进入绿色建材采购目录；加强品牌建设，以“东阿新型建材”区域公用品牌提升国内认知度，降低对单一地产周期的依赖。需求结构变化引导企业调整市场重心。绿色建材政策窗口带来新的增量空间。降低对地产周期的依赖是稳健发展所需。</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在县级建材集群中居前列。蓝天七色产品远销澳大利亚、埃及等40多个国家和地区；瑞杰特SPC/LVT地板远销欧洲、东南亚等20余个国家和地区，2025年上半年产值6400万元、全年有望破1.8亿元，出口成为重要增长极。出口已成为集群重要的增长极之一。培育自主出口主体提升外贸抗风险能力。从产品出海向品牌服务出海升级是方向。</w:t>
      </w:r>
    </w:p>
    <w:p>
      <w:pPr>
        <w:spacing w:lineRule="exact" w:line="600" w:after="0"/>
        <w:ind w:firstLine="420"/>
      </w:pPr>
      <w:r>
        <w:rPr>
          <w:rFonts w:ascii="仿宋_GB2312" w:hAnsi="仿宋_GB2312" w:eastAsia="仿宋_GB2312"/>
          <w:b w:val="0"/>
          <w:sz w:val="32"/>
        </w:rPr>
        <w:t>从出口结构看，以金属幕墙定制与环保石塑地板为主，主打绿色、定制、高性价比，契合海外家装工装需求。龙头企业具备国际认证与交付能力，但广大中小企业出口参与度低，多通过龙头代工或贸易商出海。需重点培育自主出口主体，提升中小企业跨境直营与品牌出海能力。出口已成为集群重要的增长极之一。培育自主出口主体提升外贸抗风险能力。</w:t>
      </w:r>
    </w:p>
    <w:p>
      <w:pPr>
        <w:spacing w:lineRule="exact" w:line="600" w:after="0"/>
        <w:ind w:firstLine="420"/>
      </w:pPr>
      <w:r>
        <w:rPr>
          <w:rFonts w:ascii="仿宋_GB2312" w:hAnsi="仿宋_GB2312" w:eastAsia="仿宋_GB2312"/>
          <w:b w:val="0"/>
          <w:sz w:val="32"/>
        </w:rPr>
        <w:t>应推动出口提质增效。引导企业获取国际绿色认证，以“绿色+定制”巩固欧美澳市场；依托跨境电商与海外仓拓展沿线国家；支持龙头企业建设境外营销网络，带动配套企业协同出海，从“产品出口”向“品牌+服务出口”升级，提升外贸抗风险与附加值。出口已成为集群重要的增长极之一。培育自主出口主体提升外贸抗风险能力。从产品出海向品牌服务出海升级是方向。</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初见成效。蓝天七色拥有中国名牌与国际知名品牌，是集群品牌标杆；瑞杰特以环保石塑地板塑造绿色品牌；东阿县推动“七色智造”App与行业大模型打造产业数字化品牌。但集群整体仍以企业品牌为主，区域公用品牌与集体商标建设滞后，“东阿新型建材”整体辨识度有待提升。区域公用品牌缺失削弱整体溢价能力。应构建三层品牌体系提升集群辨识度。</w:t>
      </w:r>
    </w:p>
    <w:p>
      <w:pPr>
        <w:spacing w:lineRule="exact" w:line="600" w:after="0"/>
        <w:ind w:firstLine="420"/>
      </w:pPr>
      <w:r>
        <w:rPr>
          <w:rFonts w:ascii="仿宋_GB2312" w:hAnsi="仿宋_GB2312" w:eastAsia="仿宋_GB2312"/>
          <w:b w:val="0"/>
          <w:sz w:val="32"/>
        </w:rPr>
        <w:t>从品牌层次看，龙头企业具备较强品牌溢价，但广大中小企业以代工与白牌为主，品牌价值弱。聊城市推出绿色建材产业联盟与区域协同，但统一的区域品牌营销投入不足。需构建“区域公用品牌+企业品牌+产品品牌”三层体系，提升集群整体溢价能力。区域公用品牌缺失削弱整体溢价能力。应构建三层品牌体系提升集群辨识度。版权与设计保护是品牌资产安全的基础。</w:t>
      </w:r>
    </w:p>
    <w:p>
      <w:pPr>
        <w:spacing w:lineRule="exact" w:line="600" w:after="0"/>
        <w:ind w:firstLine="420"/>
      </w:pPr>
      <w:r>
        <w:rPr>
          <w:rFonts w:ascii="仿宋_GB2312" w:hAnsi="仿宋_GB2312" w:eastAsia="仿宋_GB2312"/>
          <w:b w:val="0"/>
          <w:sz w:val="32"/>
        </w:rPr>
        <w:t>应系统实施品牌战略。注册“东阿新型建材”区域公用品牌，纳入聊城绿色建材整体推广；支持龙头企业申报驰名商标与“好品山东”；组织企业抱团参加中国国际建材展等展会，以“绿色建材·东阿智造”统一形象出海；强化版权与设计保护，防止仿冒侵蚀品牌资产。区域公用品牌缺失削弱整体溢价能力。应构建三层品牌体系提升集群辨识度。</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经历结构性转变。房地产下行压常规建材需求，但绿色建筑、装配式装修、旧改更新、乡村振兴带来的公建与家装需求上升。消费者对零甲醛、防火、可回收的绿色建材偏好增强，瑞杰特石塑地板、蓝天七色A级防火铝塑板契合该趋势，需求结构向“绿色化、定制化、功能化”迁移。需求端低碳合规门槛呈持续抬升态势。敏捷响应机制是捕捉需求变化的关键。</w:t>
      </w:r>
    </w:p>
    <w:p>
      <w:pPr>
        <w:spacing w:lineRule="exact" w:line="600" w:after="0"/>
        <w:ind w:firstLine="420"/>
      </w:pPr>
      <w:r>
        <w:rPr>
          <w:rFonts w:ascii="仿宋_GB2312" w:hAnsi="仿宋_GB2312" w:eastAsia="仿宋_GB2312"/>
          <w:b w:val="0"/>
          <w:sz w:val="32"/>
        </w:rPr>
        <w:t>从海外需求看，欧美澳对环保建材准入趋严但市场稳定，东南亚、中东基建升温带来增量。数字营销使小批量、多批次定制成为可能，倒逼企业柔性生产。需重点关注需求端“低碳合规”门槛提升，引导企业提前布局绿色认证与碳足迹管理，以合规能力锁定优质订单。需求端低碳合规门槛呈持续抬升态势。敏捷响应机制是捕捉需求变化的关键。</w:t>
      </w:r>
    </w:p>
    <w:p>
      <w:pPr>
        <w:spacing w:lineRule="exact" w:line="600" w:after="0"/>
        <w:ind w:firstLine="420"/>
      </w:pPr>
      <w:r>
        <w:rPr>
          <w:rFonts w:ascii="仿宋_GB2312" w:hAnsi="仿宋_GB2312" w:eastAsia="仿宋_GB2312"/>
          <w:b w:val="0"/>
          <w:sz w:val="32"/>
        </w:rPr>
        <w:t>应建立需求洞察与快速响应机制。依托行业大模型与电商数据，捕捉国内外需求变化；推动“设计—打样—量产”敏捷链路，缩短新品上市周期；引导企业从卖产品向“产品+设计+安装”解决方案转型，以需求端牵引供给端升级，增强集群市场适应性。需求端低碳合规门槛呈持续抬升态势。敏捷响应机制是捕捉需求变化的关键。从卖产品向卖方案转型顺应需求变迁。</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层面，东阿新型建材面临省内多重对标。聊城冠县镀涂钢板制品为国家级特色产业集群，东昌府区山水水泥、茌平信源环保建材等各具优势；省内外佛山、江阴等地铝幕墙产业起步早、规模大。东阿以铝塑板细分切入，具备一定错位空间，但在总量、配套完整度上仍需追赶先进地区。错位协同是应对区域竞争的现实选择。应依托特色赛道建立差异化护城河。</w:t>
      </w:r>
    </w:p>
    <w:p>
      <w:pPr>
        <w:spacing w:lineRule="exact" w:line="600" w:after="0"/>
        <w:ind w:firstLine="420"/>
      </w:pPr>
      <w:r>
        <w:rPr>
          <w:rFonts w:ascii="仿宋_GB2312" w:hAnsi="仿宋_GB2312" w:eastAsia="仿宋_GB2312"/>
          <w:b w:val="0"/>
          <w:sz w:val="32"/>
        </w:rPr>
        <w:t>从竞争位势看，蓝天七色跻身全国同行业前三，是东阿的核心竞争力；但集群整体规模与佛山等千亿级建材集群差距显著。需以“专精特新”塑造差异化优势，避免与成熟集群正面价格竞争，聚焦高端定制、绿色石塑、智能工厂等赛道建立护城河。错位协同是应对区域竞争的现实选择。应依托特色赛道建立差异化护城河。融入省会经济圈有助于拓展市场空间。</w:t>
      </w:r>
    </w:p>
    <w:p>
      <w:pPr>
        <w:spacing w:lineRule="exact" w:line="600" w:after="0"/>
        <w:ind w:firstLine="420"/>
      </w:pPr>
      <w:r>
        <w:rPr>
          <w:rFonts w:ascii="仿宋_GB2312" w:hAnsi="仿宋_GB2312" w:eastAsia="仿宋_GB2312"/>
          <w:b w:val="0"/>
          <w:sz w:val="32"/>
        </w:rPr>
        <w:t>应强化区域错位协同。借力聊城绿色建材产业联盟统筹市内分工，避免市内同质化；主动融入济南“1小时郊区旅游圈”与省会经济圈，承接济南装备制造、建筑工程的外溢需求；以“绿色+智能”标签参与全省乃至全国建材产业分工，提升东阿新型建材的标识度与话语权。错位协同是应对区域竞争的现实选择。应依托特色赛道建立差异化护城河。</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首推合规园区身份缺失。大桥工业园未列入合规园区，新建项目无法备案，2家拟投资近5000万元项目受阻，制约产业链纵向延伸。该问题具有政策刚性，短期内靠县级难以破解，是集群扩容提质的最大内部掣肘，需省市协同出台存量工业集聚区升级支持政策。内部短板治理需系统施策久久为功。数字化均衡是内部提效的重要抓手。</w:t>
      </w:r>
    </w:p>
    <w:p>
      <w:pPr>
        <w:spacing w:lineRule="exact" w:line="600" w:after="0"/>
        <w:ind w:firstLine="420"/>
      </w:pPr>
      <w:r>
        <w:rPr>
          <w:rFonts w:ascii="仿宋_GB2312" w:hAnsi="仿宋_GB2312" w:eastAsia="仿宋_GB2312"/>
          <w:b w:val="0"/>
          <w:sz w:val="32"/>
        </w:rPr>
        <w:t>二是中小企业能级偏低。企业规模“金字塔”塔基宽而中坚薄，多数中小企业研发弱、品牌弱、抗周期能力弱，依赖龙头代工。东阿虽新增创新型中小企业11家，但覆盖面有限。三是数字化不均衡，智能工厂经验难向中小企业扩散，产业链协同数据尚未打通，影响整体效率。内部短板治理需系统施策久久为功。数字化均衡是内部提效的重要抓手。</w:t>
      </w:r>
    </w:p>
    <w:p>
      <w:pPr>
        <w:spacing w:lineRule="exact" w:line="600" w:after="0"/>
        <w:ind w:firstLine="420"/>
      </w:pPr>
      <w:r>
        <w:rPr>
          <w:rFonts w:ascii="仿宋_GB2312" w:hAnsi="仿宋_GB2312" w:eastAsia="仿宋_GB2312"/>
          <w:b w:val="0"/>
          <w:sz w:val="32"/>
        </w:rPr>
        <w:t>应系统整治内部短板。推动园区合规化或“飞地”破题；实施“专精特新”梯度培育，壮大中坚层；以行业大模型与公共平台赋能中小企业数字化转型；建立“链主+配套”稳定协作网络，将内部松散集聚升级为有机产业集群，夯实可持续发展根基。内部短板治理需系统施策久久为功。数字化均衡是内部提效的重要抓手。松散集聚向有机集群演进是根本方向。</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房地产与基建周期。常规建材需求与地产高度绑定，当前调整期对水泥、常规板材形成需求收缩与价格压力，企业应收账款与库存风险上升。需重点关注需求侧冲击向中小企业的传导，引导企业拓展公建、旧改、绿色建材等非地产增量，平滑周期波动。周期与贸易风险需建立预警对冲机制。技术迭代风险要求持续跟进先进工艺。</w:t>
      </w:r>
    </w:p>
    <w:p>
      <w:pPr>
        <w:spacing w:lineRule="exact" w:line="600" w:after="0"/>
        <w:ind w:firstLine="420"/>
      </w:pPr>
      <w:r>
        <w:rPr>
          <w:rFonts w:ascii="仿宋_GB2312" w:hAnsi="仿宋_GB2312" w:eastAsia="仿宋_GB2312"/>
          <w:b w:val="0"/>
          <w:sz w:val="32"/>
        </w:rPr>
        <w:t>二是原材料价格与贸易风险。铝、树脂等大宗商品价格波动直接传导成本；海外市场对绿色认证、碳关税要求趋严，出口合规成本上升。三是技术迭代风险，若未能及时跟进智能工厂与绿色工艺，存在被先进产能替代的可能。应建立风险预警与多元化市场布局对冲外部不确定性。周期与贸易风险需建立预警对冲机制。技术迭代风险要求持续跟进先进工艺。</w:t>
      </w:r>
    </w:p>
    <w:p>
      <w:pPr>
        <w:spacing w:lineRule="exact" w:line="600" w:after="0"/>
        <w:ind w:firstLine="420"/>
      </w:pPr>
      <w:r>
        <w:rPr>
          <w:rFonts w:ascii="仿宋_GB2312" w:hAnsi="仿宋_GB2312" w:eastAsia="仿宋_GB2312"/>
          <w:b w:val="0"/>
          <w:sz w:val="32"/>
        </w:rPr>
        <w:t>应构建风险防范体系。建立重点原材料价格监测与集采机制；引导企业分散市场、获取国际认证以降贸易风险；以“双碳”倒逼绿色转型，将环保约束转化为竞争优势；完善企业监测预警与纾困机制，提升集群整体韧性与抗外部冲击能力。周期与贸易风险需建立预警对冲机制。技术迭代风险要求持续跟进先进工艺。风险防范体系提升集群整体韧性。</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集群契合山东省“十强产业”中新材料与绿色建材方向，以及聊城市“九大产业集群”与东阿县四大优势产业集群定位。聊城市出台《支持绿色建材产业高质量发展的若干措施》《绿色建筑全过程管理指导意见》，建立全流程闭环机制，绿色建材应用比例提升至40%，入选全省绿色低碳城市试点，为集群提供顶层支撑。顶层政策为集群发展提供了方向指引。</w:t>
      </w:r>
    </w:p>
    <w:p>
      <w:pPr>
        <w:spacing w:lineRule="exact" w:line="600" w:after="0"/>
        <w:ind w:firstLine="420"/>
      </w:pPr>
      <w:r>
        <w:rPr>
          <w:rFonts w:ascii="仿宋_GB2312" w:hAnsi="仿宋_GB2312" w:eastAsia="仿宋_GB2312"/>
          <w:b w:val="0"/>
          <w:sz w:val="32"/>
        </w:rPr>
        <w:t>从省级导向看，山东省特色产业集群培育与建设先进制造业强省，为东阿新型建材提供政策窗口。聊城市“七个一”工作机制系统推进优势产业，东阿新型建材列入省级特色产业集群获重点支持，包括专班推进、企业库建设、标杆遴选、靶向招商、专家诊链、产业会商与区域品牌打造。顶层政策为集群发展提供了方向指引。应紧抓省级特色产业集群政策窗口期。</w:t>
      </w:r>
    </w:p>
    <w:p>
      <w:pPr>
        <w:spacing w:lineRule="exact" w:line="600" w:after="0"/>
        <w:ind w:firstLine="420"/>
      </w:pPr>
      <w:r>
        <w:rPr>
          <w:rFonts w:ascii="仿宋_GB2312" w:hAnsi="仿宋_GB2312" w:eastAsia="仿宋_GB2312"/>
          <w:b w:val="0"/>
          <w:sz w:val="32"/>
        </w:rPr>
        <w:t>应紧抓顶层政策红利。对接省绿色建材与新材料专项，争取行业大模型、智能工厂等项目纳入省级攻关；用好绿色建筑强制应用政策，推动集群产品进入政府采购与公建目录；以省级特色产业集群为支点，争取土地、能耗、资金等要素倾斜，放大政策乘数效应。顶层政策为集群发展提供了方向指引。应紧抓省级特色产业集群政策窗口期。要素倾斜有助于放大政策乘数效应。</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聚焦“一企一策”与项目帮包。东阿县制定建材产业改造提升方案，滚动实施建材类技改项目9个，新增省级单项冠军1家、创新型中小企业11家；借助济南市历下区高校资源帮助企业解决技术难题；大桥镇成立专项服务专班、开通营商绿色通道，主动上门送政策解难题，助企纾困。精准帮扶提升了企业获得感与发展信心。高效政务服务是地方营商环境的底色。</w:t>
      </w:r>
    </w:p>
    <w:p>
      <w:pPr>
        <w:spacing w:lineRule="exact" w:line="600" w:after="0"/>
        <w:ind w:firstLine="420"/>
      </w:pPr>
      <w:r>
        <w:rPr>
          <w:rFonts w:ascii="仿宋_GB2312" w:hAnsi="仿宋_GB2312" w:eastAsia="仿宋_GB2312"/>
          <w:b w:val="0"/>
          <w:sz w:val="32"/>
        </w:rPr>
        <w:t>从服务机制看，东阿县实施“三级联动项目帮包”，瑞杰特项目2025年1月开工、6个月竣工投产，创“当年开工、当年投产、当年见效”速度，体现高效政务服务。同时推动“来到东阿县，好事要快办”营商环境品牌，深化“放管服”与跨域通办，降低制度性交易成本。精准帮扶提升了企业获得感与发展信心。高效政务服务是地方营商环境的底色。</w:t>
      </w:r>
    </w:p>
    <w:p>
      <w:pPr>
        <w:spacing w:lineRule="exact" w:line="600" w:after="0"/>
        <w:ind w:firstLine="420"/>
      </w:pPr>
      <w:r>
        <w:rPr>
          <w:rFonts w:ascii="仿宋_GB2312" w:hAnsi="仿宋_GB2312" w:eastAsia="仿宋_GB2312"/>
          <w:b w:val="0"/>
          <w:sz w:val="32"/>
        </w:rPr>
        <w:t>应持续提升地方扶持精准度。将“一企一策”扩展至用地、融资、人才全要素；对合规园区受阻项目探索“飞地”或标准厂房承接；强化政策“免申即享”与精准推送，让中小企业同等享受扶持；以营商服务专班常态化对接企业堵点，把地方扶持转化为可感可及的发展实效。精准帮扶提升了企业获得感与发展信心。高效政务服务是地方营商环境的底色。</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以园区基础设施与产业服务平台为主。大桥工业园已建日处理1200立方米生活污水处理厂、雨污分流管网与天然气管线，具备基本承载条件；聊城绿色建材产业联盟提供协同创新与供需对接平台；东阿县推动检测、设计、电商等公共服务向企业开放，但高水平公共检测与中试平台仍显不足。公共配套密度影响企业外部成本高低。</w:t>
      </w:r>
    </w:p>
    <w:p>
      <w:pPr>
        <w:spacing w:lineRule="exact" w:line="600" w:after="0"/>
        <w:ind w:firstLine="420"/>
      </w:pPr>
      <w:r>
        <w:rPr>
          <w:rFonts w:ascii="仿宋_GB2312" w:hAnsi="仿宋_GB2312" w:eastAsia="仿宋_GB2312"/>
          <w:b w:val="0"/>
          <w:sz w:val="32"/>
        </w:rPr>
        <w:t>从物流配套看，集群依托鲁西交通枢纽，公路运输便捷，但专业建材物流与海外仓建设滞后，影响外贸交付效率。瑞杰特、蓝天七色出口依赖第三方物流，跨境履约成本偏高。需补强专业物流、保税与跨境电商配套，提升“出海运力+海外仓”一体化能力。公共配套密度影响企业外部成本高低。专业物流与海外仓建设亟待补强。检测与中试平台是配套短板所在。</w:t>
      </w:r>
    </w:p>
    <w:p>
      <w:pPr>
        <w:spacing w:lineRule="exact" w:line="600" w:after="0"/>
        <w:ind w:firstLine="420"/>
      </w:pPr>
      <w:r>
        <w:rPr>
          <w:rFonts w:ascii="仿宋_GB2312" w:hAnsi="仿宋_GB2312" w:eastAsia="仿宋_GB2312"/>
          <w:b w:val="0"/>
          <w:sz w:val="32"/>
        </w:rPr>
        <w:t>应完善公共配套体系。推动园区污水处理、危废处置、天然气管网升级；联合高校与联盟建设绿色建材公共检测与中试基地；布局建材专业物流与跨境电商产业园；以公共服务配套密度提升，降低企业外部成本，增强集群宜居宜业吸引力与招商竞争力。公共配套密度影响企业外部成本高低。专业物流与海外仓建设亟待补强。检测与中试平台是配套短板所在。</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是集群治理重要纽带。聊城市住建局牵头组建绿色建材产业发展联盟，已吸纳成员单位99家，有效打通大中小企业协同创新堵点；联盟通过“巡链诊链”机制累计解决技术升级、市场拓展、产品认证等难题，将专家资源转化为生产力，发挥了平台型组织功能。产业联盟发挥了重要的平台纽带功能。联盟实体化运作是强化作用的方向。</w:t>
      </w:r>
    </w:p>
    <w:p>
      <w:pPr>
        <w:spacing w:lineRule="exact" w:line="600" w:after="0"/>
        <w:ind w:firstLine="420"/>
      </w:pPr>
      <w:r>
        <w:rPr>
          <w:rFonts w:ascii="仿宋_GB2312" w:hAnsi="仿宋_GB2312" w:eastAsia="仿宋_GB2312"/>
          <w:b w:val="0"/>
          <w:sz w:val="32"/>
        </w:rPr>
        <w:t>从职能看，联盟承担供需对接、标准推广、品牌共建、产学研撮合等角色，弥补政府与市场间的组织空白。东阿县亦借助高校资源与企业协会开展“一企一策”帮扶。但联盟实体化运营与常态化服务能力有待加强，中小企业参与深度不均，协会在行业自律与集体议价上作用有限。产业联盟发挥了重要的平台纽带功能。联盟实体化运作是强化作用的方向。</w:t>
      </w:r>
    </w:p>
    <w:p>
      <w:pPr>
        <w:spacing w:lineRule="exact" w:line="600" w:after="0"/>
        <w:ind w:firstLine="420"/>
      </w:pPr>
      <w:r>
        <w:rPr>
          <w:rFonts w:ascii="仿宋_GB2312" w:hAnsi="仿宋_GB2312" w:eastAsia="仿宋_GB2312"/>
          <w:b w:val="0"/>
          <w:sz w:val="32"/>
        </w:rPr>
        <w:t>应强化协会与联盟赋能。推动聊城绿色建材产业联盟实体化、专业化运作，设立专项服务基金；支持协会牵头制定团体标准、组织抱团参展与集采；建立“链主企业+协会+中小企业”常态化对话机制，把协会打造成政策传导、资源共享、协同创新的核心枢纽。产业联盟发挥了重要的平台纽带功能。联盟实体化运作是强化作用的方向。应把协会打造成协同创新核心枢纽。</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2022年大桥工业园营收12亿元、税收6200万元；截至2023年10月工业总产值超6亿元、税金1.3亿元。龙头企业蓝天七色2025年产值4.18亿元，瑞杰特全面达产年产值近2亿元。据不完全统计，集群规上建材年营收稳定在20亿元量级，成为东阿工业经济重要支柱与税收来源。经济效应由规模扩张向质量效益演进。</w:t>
      </w:r>
    </w:p>
    <w:p>
      <w:pPr>
        <w:spacing w:lineRule="exact" w:line="600" w:after="0"/>
        <w:ind w:firstLine="420"/>
      </w:pPr>
      <w:r>
        <w:rPr>
          <w:rFonts w:ascii="仿宋_GB2312" w:hAnsi="仿宋_GB2312" w:eastAsia="仿宋_GB2312"/>
          <w:b w:val="0"/>
          <w:sz w:val="32"/>
        </w:rPr>
        <w:t>从增长质量看，绿色智造项目贡献增量突出。瑞杰特以3.5亿元投资、100亩用地实现近2亿元年产值，单位产出高效；技改项目9个带动产能与效率提升。集群向绿色、智能、外向转型，经济效应由“规模扩张”向“质量效益”演进，为县域财源建设提供支撑。经济效应由规模扩张向质量效益演进。绿色智造项目贡献了突出的增量。</w:t>
      </w:r>
    </w:p>
    <w:p>
      <w:pPr>
        <w:spacing w:lineRule="exact" w:line="600" w:after="0"/>
        <w:ind w:firstLine="420"/>
      </w:pPr>
      <w:r>
        <w:rPr>
          <w:rFonts w:ascii="仿宋_GB2312" w:hAnsi="仿宋_GB2312" w:eastAsia="仿宋_GB2312"/>
          <w:b w:val="0"/>
          <w:sz w:val="32"/>
        </w:rPr>
        <w:t>需放大经济效应的外溢。以“百亿新型建材产业园”为目标，推动存量提质与增量扩容；通过产值、税收、投资的持续增长，反哺县城基础设施与公共服务。应畅通合规园区瓶颈，释放被抑制的投资潜力，使经济效应从“稳健”迈向“跃升”，更好支撑东阿高质量发展。经济效应由规模扩张向质量效益演进。绿色智造项目贡献了突出的增量。</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直接且广泛。2022年大桥工业园带动就业2000余人，涵盖生产、运维、质检、电商、物流等岗位；龙头企业与配套企业形成“总部+车间+服务”的就业链，吸纳本地农村转移劳动力与返乡人员。新型建材属劳动与技术复合型产业，单位投资就业带动能力在县级制造业中居前列。就业带动广泛且涵盖多类技能岗位。就业质量提升应与转型同步推进。</w:t>
      </w:r>
    </w:p>
    <w:p>
      <w:pPr>
        <w:spacing w:lineRule="exact" w:line="600" w:after="0"/>
        <w:ind w:firstLine="420"/>
      </w:pPr>
      <w:r>
        <w:rPr>
          <w:rFonts w:ascii="仿宋_GB2312" w:hAnsi="仿宋_GB2312" w:eastAsia="仿宋_GB2312"/>
          <w:b w:val="0"/>
          <w:sz w:val="32"/>
        </w:rPr>
        <w:t>从就业质量看，智能工厂建设催生高技能岗位，但也对传统工种形成替代压力。东阿县通过高校资源对接与技能培训缓解结构性矛盾。需重点关注“机器换人”下的再培训，以技能提升稳住就业基本盘，避免转型期就业质量下滑。就业带动广泛且涵盖多类技能岗位。就业质量提升应与转型同步推进。就近就业衔接乡村振兴成效明显。就业带动广泛且涵盖多类技能岗位。</w:t>
      </w:r>
    </w:p>
    <w:p>
      <w:pPr>
        <w:spacing w:lineRule="exact" w:line="600" w:after="0"/>
        <w:ind w:firstLine="420"/>
      </w:pPr>
      <w:r>
        <w:rPr>
          <w:rFonts w:ascii="仿宋_GB2312" w:hAnsi="仿宋_GB2312" w:eastAsia="仿宋_GB2312"/>
          <w:b w:val="0"/>
          <w:sz w:val="32"/>
        </w:rPr>
        <w:t>应放大就业带动与质量提升并重。依托产业联盟开展订单式培训，提升工人数字与绿色技能；鼓励企业在乡镇布局配套车间，促进就近就业与乡村振兴衔接；以“雁归经济”吸引青年返乡投身绿色智造，使集群成为稳就业、促增收的重要载体。就业带动广泛且涵盖多类技能岗位。就业质量提升应与转型同步推进。就近就业衔接乡村振兴成效明显。</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链与区域协同。集群带动铝基材贸易、包装印刷、物流运输、电商服务等上下游，形成县域产业联动；聊城绿色建材产业联盟将东阿经验辐射全市，促进冠县、东昌府、茌平等地建材协同。龙头企业智能工厂与行业大模型经验外溢，为中小企业数字化转型提供样板。技术外溢为中小企业转型提供样板。区域协同放大了集群的辐射半径。</w:t>
      </w:r>
    </w:p>
    <w:p>
      <w:pPr>
        <w:spacing w:lineRule="exact" w:line="600" w:after="0"/>
        <w:ind w:firstLine="420"/>
      </w:pPr>
      <w:r>
        <w:rPr>
          <w:rFonts w:ascii="仿宋_GB2312" w:hAnsi="仿宋_GB2312" w:eastAsia="仿宋_GB2312"/>
          <w:b w:val="0"/>
          <w:sz w:val="32"/>
        </w:rPr>
        <w:t>从技术溢出看，蓝天七色联合山东大学攻关的行业大模型、瑞杰特双平生产线经验，经“七色智造”App与联盟推广，成为行业公共知识。合规园区破题后，百亿园区预期将吸引更多配套与人才，强化对鲁西建材带的辐射带动，溢出效应有望从市内走向省会经济圈。技术外溢为中小企业转型提供样板。区域协同放大了集群的辐射半径。溢出承接机制需作系统性设计。</w:t>
      </w:r>
    </w:p>
    <w:p>
      <w:pPr>
        <w:spacing w:lineRule="exact" w:line="600" w:after="0"/>
        <w:ind w:firstLine="420"/>
      </w:pPr>
      <w:r>
        <w:rPr>
          <w:rFonts w:ascii="仿宋_GB2312" w:hAnsi="仿宋_GB2312" w:eastAsia="仿宋_GB2312"/>
          <w:b w:val="0"/>
          <w:sz w:val="32"/>
        </w:rPr>
        <w:t>应系统设计溢出承接机制。以联盟为枢纽建立“龙头经验—中小企业”转化通道；推动东阿纳入济南“1小时郊区旅游圈”与省会经济圈产业分工，承接济南建筑工程与装备制造外溢；以园区合规化释放空间，扩大溢出半径，使集群成为冀鲁豫交界建材带的重要节点。技术外溢为中小企业转型提供样板。区域协同放大了集群的辐射半径。溢出承接机制需作系统性设计。</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融合产业与乡村。新型建材集群赋能县域工业化，提升东阿产业辨识度；龙头企业带动周边群众就近就业、稳定增收，助力共同富裕。东阿县依托黄河生态禀赋推进农文旅融合，与工业集群形成“产城融合、城乡互促”的社会图景，增强群众获得感。产业发展红利反哺民生改善明显。绿色制造守住生态底线至关重要。应推动经济社会效益正向循环。</w:t>
      </w:r>
    </w:p>
    <w:p>
      <w:pPr>
        <w:spacing w:lineRule="exact" w:line="600" w:after="0"/>
        <w:ind w:firstLine="420"/>
      </w:pPr>
      <w:r>
        <w:rPr>
          <w:rFonts w:ascii="仿宋_GB2312" w:hAnsi="仿宋_GB2312" w:eastAsia="仿宋_GB2312"/>
          <w:b w:val="0"/>
          <w:sz w:val="32"/>
        </w:rPr>
        <w:t>从民生看，集群税收反哺基础设施与公共服务，改善人居环境；企业绿色工厂与节能改造降低环境负荷，契合黄河流域生态保护要求。需重点关注发展与生态的平衡，防止建材生产的环境外部性，以绿色制造守住生态底线，实现经济与社会效益统一。产业发展红利反哺民生改善明显。绿色制造守住生态底线至关重要。应推动经济社会效益正向循环。</w:t>
      </w:r>
    </w:p>
    <w:p>
      <w:pPr>
        <w:spacing w:lineRule="exact" w:line="600" w:after="0"/>
        <w:ind w:firstLine="420"/>
      </w:pPr>
      <w:r>
        <w:rPr>
          <w:rFonts w:ascii="仿宋_GB2312" w:hAnsi="仿宋_GB2312" w:eastAsia="仿宋_GB2312"/>
          <w:b w:val="0"/>
          <w:sz w:val="32"/>
        </w:rPr>
        <w:t>应推动社会效应正向循环。将集群发展与乡村振兴、黄河流域生态保护结合，打造产村融合样板；强化企业社会责任，引导参与公益与技能培训；以产业发展红利反哺民生，形成“产业强—就业稳—收入增—社会安”的良性循环。产业发展红利反哺民生改善明显。绿色制造守住生态底线至关重要。应推动经济社会效益正向循环。产业发展红利反哺民生改善明显。</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可概括为“一长三短”：长板是龙头引领与绿色智造初具优势；短板一是合规园区身份缺失，新建项目无法备案，制约扩容；短板二是上游原材料本地配套不足、价值链两端偏弱；短板三是中小企业能级偏低、数字化不均衡、品牌合力不强。问题本质是集聚向集群演进的成长烦恼。系统施策方能破解阶段性挑战。质的跃升比简单规模累加更为关键。</w:t>
      </w:r>
    </w:p>
    <w:p>
      <w:pPr>
        <w:spacing w:lineRule="exact" w:line="600" w:after="0"/>
        <w:ind w:firstLine="420"/>
      </w:pPr>
      <w:r>
        <w:rPr>
          <w:rFonts w:ascii="仿宋_GB2312" w:hAnsi="仿宋_GB2312" w:eastAsia="仿宋_GB2312"/>
          <w:b w:val="0"/>
          <w:sz w:val="32"/>
        </w:rPr>
        <w:t>从结构性看，规模“金字塔”中坚层薄弱，企业“聚而不链、链而不群”风险犹存；从要素看，土地能耗约束刚性、长期资本不足；从外部看，地产周期与贸易合规风险并存。上述问题的交织，使集群在“百亿目标”前面临“有方向、缺空间、弱协同”的阶段性挑战，需系统施策破解。问题本质是集聚向集群演进的成长烦恼。系统施策方能破解阶段性挑战。</w:t>
      </w:r>
    </w:p>
    <w:p>
      <w:pPr>
        <w:spacing w:lineRule="exact" w:line="600" w:after="0"/>
        <w:ind w:firstLine="420"/>
      </w:pPr>
      <w:r>
        <w:rPr>
          <w:rFonts w:ascii="仿宋_GB2312" w:hAnsi="仿宋_GB2312" w:eastAsia="仿宋_GB2312"/>
          <w:b w:val="0"/>
          <w:sz w:val="32"/>
        </w:rPr>
        <w:t>问题本质是集群从“集聚”向“集群”演进中的成长烦恼。东阿新型建材已具备良好产业基础与龙头引领，关键在于以合规化破空间瓶颈、以补链强链补环节短板、以数字绿色提价值位势、以品牌协同聚整体合力，推动集群质的跃升而非简单规模累加。问题本质是集聚向集群演进的成长烦恼。系统施策方能破解阶段性挑战。质的跃升比简单规模累加更为关键。</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点在上游原材料本地化。围绕铝塑板、石塑地板，招引铝板基材、功能涂料、特种助剂配套项目，降低对外依存；依托联盟建立“集采+储备”机制平抑价格波动。延链重在向下游工程总包、设计安装、跨境电商延伸，提升一体化服务能力，从卖产品转向“产品+服务”解决方案。链式思维推动单点强向全链强跨越。链主带动构建示范复制传导链条。</w:t>
      </w:r>
    </w:p>
    <w:p>
      <w:pPr>
        <w:spacing w:lineRule="exact" w:line="600" w:after="0"/>
        <w:ind w:firstLine="420"/>
      </w:pPr>
      <w:r>
        <w:rPr>
          <w:rFonts w:ascii="仿宋_GB2312" w:hAnsi="仿宋_GB2312" w:eastAsia="仿宋_GB2312"/>
          <w:b w:val="0"/>
          <w:sz w:val="32"/>
        </w:rPr>
        <w:t>强链重在强化龙头“链主”功能。支持蓝天七色、瑞杰特扩大高端产能与海外网络，带动配套企业协同；以行业大模型与智能工厂经验向中小企业输出，构建“示范—复制”链条。应围绕绿色建材、装配式装饰培育新增长极，避免常规板材低水平重复，巩固铝塑板省级特色领先优势。链式思维推动单点强向全链强跨越。链主带动构建示范复制传导链条。</w:t>
      </w:r>
    </w:p>
    <w:p>
      <w:pPr>
        <w:spacing w:lineRule="exact" w:line="600" w:after="0"/>
        <w:ind w:firstLine="420"/>
      </w:pPr>
      <w:r>
        <w:rPr>
          <w:rFonts w:ascii="仿宋_GB2312" w:hAnsi="仿宋_GB2312" w:eastAsia="仿宋_GB2312"/>
          <w:b w:val="0"/>
          <w:sz w:val="32"/>
        </w:rPr>
        <w:t>应绘制“三链”路线图。按“原材料—制造—服务”梳理缺环节清单，实施“一链一策”靶向招商；建立链主企业需求发布与配套对接机制；争取省级特色产业集群专项支持补链项目，以链式思维推动集群从单点强向全链强跨越，筑牢百亿产业园的产业根基。链式思维推动单点强向全链强跨越。链主带动构建示范复制传导链条。路线图应聚焦缺失环节精准施策。</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企业梯度培育。以“创新型中小企业—专精特新—小巨人—单项冠军”路径，壮大中坚层；东阿已新增创新型中小企业11家，应扩大覆盖面，重点扶持瑞杰特类高成长企业冲击单项冠军。对配套中小企业开展“专精特新”诊断，推动其向隐形冠军演进，弥合规模断层。梯度培育壮大中坚层弥合规模断层。链主配套协作形成稳定契约关系。</w:t>
      </w:r>
    </w:p>
    <w:p>
      <w:pPr>
        <w:spacing w:lineRule="exact" w:line="600" w:after="0"/>
        <w:ind w:firstLine="420"/>
      </w:pPr>
      <w:r>
        <w:rPr>
          <w:rFonts w:ascii="仿宋_GB2312" w:hAnsi="仿宋_GB2312" w:eastAsia="仿宋_GB2312"/>
          <w:b w:val="0"/>
          <w:sz w:val="32"/>
        </w:rPr>
        <w:t>强化“链主+配套”协作。建立龙头企业需求清单与中小企业能力清单对接平台，推动工序分解与产能共享；鼓励龙头向配套开放场景与标准，形成稳定契约配套。支持企业兼并重组与股改上市，优化产权与治理结构，提升资本实力与抗风险能力。梯度培育壮大中坚层弥合规模断层。链主配套协作形成稳定契约关系。成长生态夯实集群微观基础。</w:t>
      </w:r>
    </w:p>
    <w:p>
      <w:pPr>
        <w:spacing w:lineRule="exact" w:line="600" w:after="0"/>
        <w:ind w:firstLine="420"/>
      </w:pPr>
      <w:r>
        <w:rPr>
          <w:rFonts w:ascii="仿宋_GB2312" w:hAnsi="仿宋_GB2312" w:eastAsia="仿宋_GB2312"/>
          <w:b w:val="0"/>
          <w:sz w:val="32"/>
        </w:rPr>
        <w:t>应营造企业成长生态。落实“一企一策”全要素扶持，推政策“免申即享”；以产业基金、技改贷支持高成长企业；组织企业家培训与标杆访学，提升经营管理能力；构建“龙头引领、中坚壮实、配套活跃”的企业矩阵，为集群提供坚实微观基础。梯度培育壮大中坚层弥合规模断层。链主配套协作形成稳定契约关系。成长生态夯实集群微观基础。</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提升创新应平台与投入并重。依托行业大模型、联合山东大学等高校，共建绿色建材公共研发与中试平台；落实省市技改奖补，激励中小企业加大研发。推动“一链一院”常态化，以“巡链诊链”解决技术难题，将专家资源转化为生产力，扭转“龙头独舞”局面。平台与投入并重提升创新能力。产出转化驱动价值链高端攀升。创新型集群建设重塑创新范式。</w:t>
      </w:r>
    </w:p>
    <w:p>
      <w:pPr>
        <w:spacing w:lineRule="exact" w:line="600" w:after="0"/>
        <w:ind w:firstLine="420"/>
      </w:pPr>
      <w:r>
        <w:rPr>
          <w:rFonts w:ascii="仿宋_GB2312" w:hAnsi="仿宋_GB2312" w:eastAsia="仿宋_GB2312"/>
          <w:b w:val="0"/>
          <w:sz w:val="32"/>
        </w:rPr>
        <w:t>强化创新产出转化。鼓励龙头企业将智能工厂、AI设计经验向联盟内共享；支持企业参与绿色建材认证与标准制定，把工艺优势变标准话语权；探索“技改贷+首台套保险”组合，缩短技术到产线距离。以创新提升单位产出与附加值，驱动价值链向高端攀升。平台与投入并重提升创新能力。产出转化驱动价值链高端攀升。创新型集群建设重塑创新范式。</w:t>
      </w:r>
    </w:p>
    <w:p>
      <w:pPr>
        <w:spacing w:lineRule="exact" w:line="600" w:after="0"/>
        <w:ind w:firstLine="420"/>
      </w:pPr>
      <w:r>
        <w:rPr>
          <w:rFonts w:ascii="仿宋_GB2312" w:hAnsi="仿宋_GB2312" w:eastAsia="仿宋_GB2312"/>
          <w:b w:val="0"/>
          <w:sz w:val="32"/>
        </w:rPr>
        <w:t>应建设创新型集群。谋划省级制造业创新中心或绿色建材中试基地；推动行业大模型能力对外开放赋能；建立知识产权与版权保护机制，激励原创设计；以“数据+算法+绿色”重塑建材创新范式，使创新成为集群从跟跑迈向并跑领跑的核心引擎。平台与投入并重提升创新能力。产出转化驱动价值链高端攀升。创新型集群建设重塑创新范式。</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首破土地瓶颈。推动大桥工业园合规化认定或“飞地园区”合作，释放被抑制的近5000万元级投资；推行“标准地”与弹性年期供应，向绿色高效产能倾斜用地。以“腾笼换鸟”持续盘活低效闲置用地，向存量要空间，支撑百亿产业园有序扩容。要素保障首在破解土地瓶颈。配置优化支撑有序扩容目标。闭环机制提供坚实资源底座。</w:t>
      </w:r>
    </w:p>
    <w:p>
      <w:pPr>
        <w:spacing w:lineRule="exact" w:line="600" w:after="0"/>
        <w:ind w:firstLine="420"/>
      </w:pPr>
      <w:r>
        <w:rPr>
          <w:rFonts w:ascii="仿宋_GB2312" w:hAnsi="仿宋_GB2312" w:eastAsia="仿宋_GB2312"/>
          <w:b w:val="0"/>
          <w:sz w:val="32"/>
        </w:rPr>
        <w:t>优化能耗与资本配置。严控高耗能低附加值产能，争取能耗指标向绿色建材倾斜；推广“技改贷”“供应链金融”与政府性融资担保，探索绿色建材产业基金；鼓励龙头企业股权融资。以人才新政引进设计、算法、外贸复合人才，依托高校订单培养补齐技能短板。要素保障首在破解土地瓶颈。配置优化支撑有序扩容目标。闭环机制提供坚实资源底座。</w:t>
      </w:r>
    </w:p>
    <w:p>
      <w:pPr>
        <w:spacing w:lineRule="exact" w:line="600" w:after="0"/>
        <w:ind w:firstLine="420"/>
      </w:pPr>
      <w:r>
        <w:rPr>
          <w:rFonts w:ascii="仿宋_GB2312" w:hAnsi="仿宋_GB2312" w:eastAsia="仿宋_GB2312"/>
          <w:b w:val="0"/>
          <w:sz w:val="32"/>
        </w:rPr>
        <w:t>应构建要素保障闭环。建立“要素跟着项目走”机制，对合规优质项目优先保障用地能耗；设立要素服务专班统筹土地、能耗、资金、人才；以“高效办成一件事”压减审批时长；形成要素精准供给体系，为集群跃升提供坚实资源底座。要素保障首在破解土地瓶颈。配置优化支撑有序扩容目标。闭环机制提供坚实资源底座。要素保障首在破解土地瓶颈。</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上下协同破刚性约束。建议省市研究出台支持存量工业集聚区在符合生态环保前提下新上工业项目的专项政策，破解沿黄合规园区身份难题；将东阿新型建材省级特色产业集群纳入省级要素倾斜与攻关支持，放大政策乘数。上下协同破解刚性约束是关键。政策精准可及提升扶持实效。协同机制放大政策整体合力。上下协同破解刚性约束是关键。</w:t>
      </w:r>
    </w:p>
    <w:p>
      <w:pPr>
        <w:spacing w:lineRule="exact" w:line="600" w:after="0"/>
        <w:ind w:firstLine="420"/>
      </w:pPr>
      <w:r>
        <w:rPr>
          <w:rFonts w:ascii="仿宋_GB2312" w:hAnsi="仿宋_GB2312" w:eastAsia="仿宋_GB2312"/>
          <w:b w:val="0"/>
          <w:sz w:val="32"/>
        </w:rPr>
        <w:t>提升政策精准与可及。扩大“一企一策”至全要素；推政策“免申即享”与精准推送，让中小企业同等受益；用好绿色建筑强制应用政策，推动集群产品进公建与政府采购目录；以“来到东阿县，好事要快办”品牌优化政务，降低制度性交易成本。上下协同破解刚性约束是关键。政策精准可及提升扶持实效。协同机制放大政策整体合力。上下协同破解刚性约束是关键。</w:t>
      </w:r>
    </w:p>
    <w:p>
      <w:pPr>
        <w:spacing w:lineRule="exact" w:line="600" w:after="0"/>
        <w:ind w:firstLine="420"/>
      </w:pPr>
      <w:r>
        <w:rPr>
          <w:rFonts w:ascii="仿宋_GB2312" w:hAnsi="仿宋_GB2312" w:eastAsia="仿宋_GB2312"/>
          <w:b w:val="0"/>
          <w:sz w:val="32"/>
        </w:rPr>
        <w:t>应健全政策评估与协同机制。建立集群发展年度评估，动态校准政策；强化工信、住建、自然资源、金融等部门协同，形成政策合力；以省级特色产业集群为支点，争取跨区域产业协同政策，使东阿新型建材在更高层级网络中获取要素与市场的双向赋能。上下协同破解刚性约束是关键。政策精准可及提升扶持实效。协同机制放大政策整体合力。</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东阿县人民政府门户网站，对东阿县十九届人大三次会议第024号代表建议（关于认定东阿县大桥工业集聚区合规园区的建议）的答复，http://www.sdde.gov.cn/site_daxfgj/channel_jy_daxrmzfdexfzggjc_76c/doc_67612d60b8caf81efcfecd86.html</w:t>
      </w:r>
    </w:p>
    <w:p>
      <w:pPr>
        <w:spacing w:lineRule="exact" w:line="600" w:after="0"/>
        <w:ind w:firstLine="0"/>
      </w:pPr>
      <w:r>
        <w:rPr>
          <w:rFonts w:ascii="仿宋_GB2312" w:hAnsi="仿宋_GB2312" w:eastAsia="仿宋_GB2312"/>
          <w:b w:val="0"/>
          <w:sz w:val="32"/>
        </w:rPr>
        <w:t>2. 东阿县人民政府门户网站，对东阿县政协十一届三次会议第120号政协委员提案（关于东阿县大桥工业园申请政策支持纳入合规工业园的提案）的答复，http://www.sdde.gov.cn/site_daxfgj/channel_jy_daxrmzfdexfzggjc_77c/doc_676140482e20b0379ffecf0d.html</w:t>
      </w:r>
    </w:p>
    <w:p>
      <w:pPr>
        <w:spacing w:lineRule="exact" w:line="600" w:after="0"/>
        <w:ind w:firstLine="0"/>
      </w:pPr>
      <w:r>
        <w:rPr>
          <w:rFonts w:ascii="仿宋_GB2312" w:hAnsi="仿宋_GB2312" w:eastAsia="仿宋_GB2312"/>
          <w:b w:val="0"/>
          <w:sz w:val="32"/>
        </w:rPr>
        <w:t>3. 东阿融媒，项目为王 产业兴县｜瑞杰特新材料：腾笼换鸟！绿色智造激活建材外贸新动能，https://iapp.decmc.cn/share/YS05NS00NDE5ODkxNA.html</w:t>
      </w:r>
    </w:p>
    <w:p>
      <w:pPr>
        <w:spacing w:lineRule="exact" w:line="600" w:after="0"/>
        <w:ind w:firstLine="0"/>
      </w:pPr>
      <w:r>
        <w:rPr>
          <w:rFonts w:ascii="仿宋_GB2312" w:hAnsi="仿宋_GB2312" w:eastAsia="仿宋_GB2312"/>
          <w:b w:val="0"/>
          <w:sz w:val="32"/>
        </w:rPr>
        <w:t>4. 聊城日报，老地块长出“新”产业，http://lcrb.lcxw.cn/paper/pc/content/content_92542.html</w:t>
      </w:r>
    </w:p>
    <w:p>
      <w:pPr>
        <w:spacing w:lineRule="exact" w:line="600" w:after="0"/>
        <w:ind w:firstLine="0"/>
      </w:pPr>
      <w:r>
        <w:rPr>
          <w:rFonts w:ascii="仿宋_GB2312" w:hAnsi="仿宋_GB2312" w:eastAsia="仿宋_GB2312"/>
          <w:b w:val="0"/>
          <w:sz w:val="32"/>
        </w:rPr>
        <w:t>5. 齐鲁网·闪电新闻，东阿智造建材远销多国 产业民生双向赋能，https://www.163.com/dy/article/KT7S93UJ0514CFC7.html</w:t>
      </w:r>
    </w:p>
    <w:p>
      <w:pPr>
        <w:spacing w:lineRule="exact" w:line="600" w:after="0"/>
        <w:ind w:firstLine="0"/>
      </w:pPr>
      <w:r>
        <w:rPr>
          <w:rFonts w:ascii="仿宋_GB2312" w:hAnsi="仿宋_GB2312" w:eastAsia="仿宋_GB2312"/>
          <w:b w:val="0"/>
          <w:sz w:val="32"/>
        </w:rPr>
        <w:t>6. 聊城市住建局（大众网），全力推动建材产业向“新”转型、向“绿”升级，https://www.toutiao.com/article/7655503557978571327/</w:t>
      </w:r>
    </w:p>
    <w:p>
      <w:pPr>
        <w:spacing w:lineRule="exact" w:line="600" w:after="0"/>
        <w:ind w:firstLine="0"/>
      </w:pPr>
      <w:r>
        <w:rPr>
          <w:rFonts w:ascii="仿宋_GB2312" w:hAnsi="仿宋_GB2312" w:eastAsia="仿宋_GB2312"/>
          <w:b w:val="0"/>
          <w:sz w:val="32"/>
        </w:rPr>
        <w:t>7. 聊城新闻网，东阿县“一企一策”改造提升建材产业，https://www.lcxw.cn/yaowen/shehui/20250813/124832.html</w:t>
      </w:r>
    </w:p>
    <w:p>
      <w:pPr>
        <w:spacing w:lineRule="exact" w:line="600" w:after="0"/>
        <w:ind w:firstLine="0"/>
      </w:pPr>
      <w:r>
        <w:rPr>
          <w:rFonts w:ascii="仿宋_GB2312" w:hAnsi="仿宋_GB2312" w:eastAsia="仿宋_GB2312"/>
          <w:b w:val="0"/>
          <w:sz w:val="32"/>
        </w:rPr>
        <w:t>8. 齐鲁网，东阿：“六大行动”奋力谱写高质量发展篇章，https://sdxw.iqilu.com/share/YS0yMS0xMzU3MjQzMQ==.html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