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博兴县金属板材特色产业集群发展研究报告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博兴县金属板材特色产业集群于二〇二三年正式入选山东省省级中小企业特色产业集群，是享誉全国的“中国金属板材之乡”，在全国金属板材产业格局中占据举足轻重的地位。集群以冷轧、镀锌、彩涂等核心环节为主体，形成了从板材加工到机械装配、物流配送、出口贸易的完整产业闭环，产业组织形态成熟，区域带动能力稳步增强，已经成为县域经济名副其实的支柱板块与核心增长极。</w:t>
      </w:r>
    </w:p>
    <w:p>
      <w:pPr>
        <w:spacing w:lineRule="exact" w:line="600" w:after="0"/>
        <w:ind w:firstLine="420"/>
      </w:pPr>
      <w:r>
        <w:rPr>
          <w:rFonts w:ascii="仿宋_GB2312" w:hAnsi="仿宋_GB2312" w:eastAsia="仿宋_GB2312"/>
          <w:b w:val="0"/>
          <w:sz w:val="32"/>
        </w:rPr>
        <w:t>从基本属性看，集群属于典型的原材料精深加工型特色产业集群，兼具规模制造与出口导向的双重特征，发展路径清晰且辨识度高。全县拥有各类板材生产线四百零六条，年设计产能突破九千四百万吨，镀锌板、彩涂板产能分别占到全国的三分之一和七成，是全国集中程度最高、产业规模最大的金属板材生产基地，集群属性稳定鲜明。从中可见，夯实产业基础并稳步固链强链，是稳当前、谋长远的必然选择。</w:t>
      </w:r>
    </w:p>
    <w:p>
      <w:pPr>
        <w:spacing w:lineRule="exact" w:line="600" w:after="0"/>
        <w:ind w:firstLine="420"/>
      </w:pPr>
      <w:r>
        <w:rPr>
          <w:rFonts w:ascii="仿宋_GB2312" w:hAnsi="仿宋_GB2312" w:eastAsia="仿宋_GB2312"/>
          <w:b w:val="0"/>
          <w:sz w:val="32"/>
        </w:rPr>
        <w:t>集群以金属板材为核心环节，向上衔接钢铁原料贸易与仓储物流，向下有效连通钢结构施工、金属涂料、卷材包装与跨境电商，是博兴县当之无愧的第一大支柱产业。二〇二三年入选省级特色产业集群，既是对集群特色的权威认可，也显著提升了其在全省乃至全国金属材料版图中的话语权，为后续争取政策与要素资源创造了有利条件。由此判断，把既有优势转化为持久竞争力，仍需久久为功、持续加力。</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山东省发展和改革委员会公布的数据，博兴县金属板材产业已成长为拥有生产线四百零六条、设计年产能九千四百余万吨、从业人员近六万名、年产值近千亿元的产业集群。二〇二五年全县规模以上板材企业达一百七十一家，实现产值八百三十六点二亿元，撑起了县域工业的“半壁江山”，规模体量在山东省县域制造业中稳居前列。总体看，这一态势有利于集群提质增效，但短板亦不容忽视，须统筹施策。</w:t>
      </w:r>
    </w:p>
    <w:p>
      <w:pPr>
        <w:spacing w:lineRule="exact" w:line="600" w:after="0"/>
        <w:ind w:firstLine="420"/>
      </w:pPr>
      <w:r>
        <w:rPr>
          <w:rFonts w:ascii="仿宋_GB2312" w:hAnsi="仿宋_GB2312" w:eastAsia="仿宋_GB2312"/>
          <w:b w:val="0"/>
          <w:sz w:val="32"/>
        </w:rPr>
        <w:t>从发展态势看，集群规模持续扩张。二〇二二年全县规模以上金属板材企业实现产值六百九十五点五亿元，已占到全县规模以上工业总产值的百分之三十八点六；二〇二五年产值进一步攀升至八百三十六点二亿元。生产线数量、产能规模与产出水平同步提升，抗风险能力强，为集群进一步做大做强提供了雄厚的物质支撑与产能保障。展望未来，在政策与市场共同作用下，相关领域有望迎来更高质量的发展。</w:t>
      </w:r>
    </w:p>
    <w:p>
      <w:pPr>
        <w:spacing w:lineRule="exact" w:line="600" w:after="0"/>
        <w:ind w:firstLine="420"/>
      </w:pPr>
      <w:r>
        <w:rPr>
          <w:rFonts w:ascii="仿宋_GB2312" w:hAnsi="仿宋_GB2312" w:eastAsia="仿宋_GB2312"/>
          <w:b w:val="0"/>
          <w:sz w:val="32"/>
        </w:rPr>
        <w:t>集群的体量优势还体现在空间集聚与外贸贡献上。产品远销“一带一路”共建国家以及东欧、南美等一百四十多个国家和地区，年出口额占全县外贸总值的六成。依托近千亿元产值的产业基础，博兴正以“链长制”为抓手，向着千亿级产业集群目标全力冲刺，规模能级与区域影响力持续抬升，发展前景值得期待。应当看到，机遇与挑战并存，唯有主动作为方能巩固并扩大既有领先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的第一板块是板材加工制造，以冷轧板、镀锌板、彩涂板、复合板、印花板生产加工以及钢结构建筑施工为主体，构成“六大系列”产品体系，其中镀锌板、彩涂板产能均居全国第一梯队，是产值贡献最大、出口拉动最强的核心领域，也是集群特色优势的主要承载部分。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集群主导产业的第二板块是配套业态，以钢板剪切、机械装配、金属涂料、卷材包装、物流配送、出口贸易、电子商务“七大板块”为配套，与板材加工主体环节紧密咬合，形成上下游协同的产业体系。该板块延展了价值链长度，增强了集群整体配套能力与供应链韧性，是规模优势转化为系统优势的关键支撑。需要强调的是，相关工作的系统性与协同性，直接关系集群升级的成败。</w:t>
      </w:r>
    </w:p>
    <w:p>
      <w:pPr>
        <w:spacing w:lineRule="exact" w:line="600" w:after="0"/>
        <w:ind w:firstLine="420"/>
      </w:pPr>
      <w:r>
        <w:rPr>
          <w:rFonts w:ascii="仿宋_GB2312" w:hAnsi="仿宋_GB2312" w:eastAsia="仿宋_GB2312"/>
          <w:b w:val="0"/>
          <w:sz w:val="32"/>
        </w:rPr>
        <w:t>集群主导产业的第三板块是高端新材料与绿色制造方向，以新美达数字化高性能耐腐蚀新材料、汇鑫板业出口型锌铝镁板材及高强钢、装配式建筑与新型建材为代表，是集群响应高端化、智能化、绿色化转型的重要增长极。该板块代表集群向价值链高端突围的战略主攻方向，未来发展空间广阔，应作为升级重点予以培育。综合研判，集群已具备一定基础，下一步须在补链延链上取得实质性突破。</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从产业链整体看，集群已经形成从冷轧、镀锌、彩涂到钢结构施工，并配套钢板剪切、机械装配、金属涂料、卷材包装、物流配送、出口贸易、电子商务的完整链条，上游衔接钢铁原料贸易与仓储，中游为板材精深加工，下游对接工程应用与全球贸易，链条衔接顺畅、配套协作能力在县域制造业中处于较高水平。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龙头企业的带动效应极为明显。博兴在全省率先推行产业链“链长制”，由县级领导挂帅，遴选十一家龙头企业担任“链主”，聚焦装配式建筑、新型建材等方向实施强链、补链、延链工程。新美达、汇鑫板业等一批重点项目落地，推动产业从单一彩基板生产向高端镀层板、高强钢等领域延伸，链式协同格局日益巩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需要关注的是，尽管主体链条完整，但高端镀层板、高强钢等高附加值环节仍处于培育期，部分中小企业仍以提供初加工与标准品为主，价值外溢较为严重。产业链纵向延伸不足、价值捕获能力不强，仍是集群下一步提质升级需要重点破解的深层问题，必须下大力气向“微笑曲线”两端延展。从长远计，构建开放协同的创新生态，是破解瓶颈制约的关键着力点所在。</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总体来看，集群产业链的短板主要集中在研发设计与品牌流通两端，制约了整体效益提升。绝大多数中小企业研发投入有限，产品仍以传统彩基板、标准镀锌板为主，面向高端镀层、功能性涂层的新品供给明显不足，难以有效支撑价值链向高端环节系统性攀升，产品同质化竞争压力持续加大。说明相关举措已初见成效，但要把成果做深做实，仍须常抓不懈、久久为功。</w:t>
      </w:r>
    </w:p>
    <w:p>
      <w:pPr>
        <w:spacing w:lineRule="exact" w:line="600" w:after="0"/>
        <w:ind w:firstLine="420"/>
      </w:pPr>
      <w:r>
        <w:rPr>
          <w:rFonts w:ascii="仿宋_GB2312" w:hAnsi="仿宋_GB2312" w:eastAsia="仿宋_GB2312"/>
          <w:b w:val="0"/>
          <w:sz w:val="32"/>
        </w:rPr>
        <w:t>绿色制造与环保治理是另一个突出短板。彩涂环节挥发性有机物治理难度较大，部分中小企业环保设施薄弱，面临整改与退出风险。针对这一痛点，博兴大力推广水性涂料、粉末喷涂等绿色工艺，对节能技改投资项目实行政府补贴，但中小企业绿色改造的资金与技术门槛仍需持续破解，绿色转型已刻不容缓。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原料端对外依赖度较高，钢材原料“两头在外”，成本受宏观市场波动影响明显，供应链稳定性存在隐忧。补齐加工链条短、品牌弱的痛点，积极布局本地原料基地与海外仓，才是集群下一步提质增效、稳定经营主体收益的关键着力点，需要尽快付诸行动，增强产业链自主可控水平。这对稳定经营主体预期、激发市场活力将发挥重要的牵引与保障作用。</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当前以中游的冷轧、镀锌、彩涂等规模化加工环节为主，价值捕获集中于制造环节，而上游研发与下游品牌零售两端的附加值大量外溢，整体仍处于价值链中段的规模竞争区间，产品溢价能力与行业话语权有待进一步增强，亟需向“微笑曲线”两端延伸布局。需以底线思维统筹发展与安全，在变化中牢牢把握集群发展的战略主动。</w:t>
      </w:r>
    </w:p>
    <w:p>
      <w:pPr>
        <w:spacing w:lineRule="exact" w:line="600" w:after="0"/>
        <w:ind w:firstLine="420"/>
      </w:pPr>
      <w:r>
        <w:rPr>
          <w:rFonts w:ascii="仿宋_GB2312" w:hAnsi="仿宋_GB2312" w:eastAsia="仿宋_GB2312"/>
          <w:b w:val="0"/>
          <w:sz w:val="32"/>
        </w:rPr>
        <w:t>凭借七百六十二项专利、十六项国家及行业标准，“博兴制造”成为高品质的代名词。“鲁匠”“斐普特”“容重实业”等品牌打入国际高端市场，部分企业从代工向品牌输出跃升，为集群向价值链高端攀升提供了可复制可推广的标杆路径，也印证了向高端迈进的可行性与现实收益，示范意义十分突出。这也对营商环境与公共服务提出了更高要求，须持续用力、不断优化提升。</w:t>
      </w:r>
    </w:p>
    <w:p>
      <w:pPr>
        <w:spacing w:lineRule="exact" w:line="600" w:after="0"/>
        <w:ind w:firstLine="420"/>
      </w:pPr>
      <w:r>
        <w:rPr>
          <w:rFonts w:ascii="仿宋_GB2312" w:hAnsi="仿宋_GB2312" w:eastAsia="仿宋_GB2312"/>
          <w:b w:val="0"/>
          <w:sz w:val="32"/>
        </w:rPr>
        <w:t>以万事达为代表的龙头企业，与立邦、巴斯夫等国际行业龙头合作，二〇二二年累计投入四千多万元启动十六个研发项目，科技成果转化效益达十亿元，初步实现了从规模制造向技术品牌的跨越。此类实践有助于集群整体向高附加值环节迁移，改善价值分配结构，提升产业发展的质量效益。总体判断，只要方向明确、举措得当，集群完全有能力迈上更高的发展能级。</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出龙头引领、专业配套的清晰格局，组织化程度较高。万事达、惠博、明锐、新美达等龙头企业聚焦品牌研发与高端产品，中小企业则围绕剪切、涂装、包装、物流等环节提供专业化配套，形成错位竞争、协同共进的良性产业组织形态，有效避免了内部恶性竞争。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在区域分工上，店子镇以金属板材及配套协作企业两百余家、各类板材生产线一百七十五条、从业人员突破一万、年产能两千余万吨、总产值三百亿元，成为集群核心承载区；新型金属材料产业园则集聚成长型与出口型企业，专业镇与产业园协同互补，共同支撑起合理的空间布局体系。把规划蓝图变为现实成果，关键在于狠抓落实、强化督导并形成管理闭环。</w:t>
      </w:r>
    </w:p>
    <w:p>
      <w:pPr>
        <w:spacing w:lineRule="exact" w:line="600" w:after="0"/>
        <w:ind w:firstLine="420"/>
      </w:pPr>
      <w:r>
        <w:rPr>
          <w:rFonts w:ascii="仿宋_GB2312" w:hAnsi="仿宋_GB2312" w:eastAsia="仿宋_GB2312"/>
          <w:b w:val="0"/>
          <w:sz w:val="32"/>
        </w:rPr>
        <w:t>从企业规模结构看，集群以大量中小微企业为主体、龙头企业为牵引的分工生态较为稳定。二〇二五年规模以上板材企业达一百七十一家，表明骨干企业梯队日益壮大。这种大中小企业融通发展的分工格局，有利于形成协同共生的产业生态，也增强了整体抗风险能力与供应链弹性韧性。相关经验若能在集群内有序复制推广，将显著放大整体发展的协同效应。</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据公开数据，二〇二五年博兴县规模以上板材企业已经达到一百七十一家，构成集群的骨干力量；全行业从业人员近六万名，中小企业是吸纳就业与稳定产业链的主要载体，在集群体量中地位举足轻重。稳住了中小企业，就稳住了集群大局，中小企业活则集群活，其支撑作用不容忽视。这表明市场与政府同向发力，是提升产业能级与竞争力的有效实现路径。</w:t>
      </w:r>
    </w:p>
    <w:p>
      <w:pPr>
        <w:spacing w:lineRule="exact" w:line="600" w:after="0"/>
        <w:ind w:firstLine="420"/>
      </w:pPr>
      <w:r>
        <w:rPr>
          <w:rFonts w:ascii="仿宋_GB2312" w:hAnsi="仿宋_GB2312" w:eastAsia="仿宋_GB2312"/>
          <w:b w:val="0"/>
          <w:sz w:val="32"/>
        </w:rPr>
        <w:t>从规模梯度看，集群呈现少量龙头、大量中小微的金字塔型结构。万事达、惠博、新美达等少数企业产值规模与技术水平突出，大量乡镇企业经产业园孵化后升级为规模以上企业，转型成效显著，说明孵化载体对小微企业升级具有关键催化作用与示范价值，梯度培育成效逐步显现。对中小企业而言，融入这一进程既是挑战，更是实现能级跃升的重要契机。</w:t>
      </w:r>
    </w:p>
    <w:p>
      <w:pPr>
        <w:spacing w:lineRule="exact" w:line="600" w:after="0"/>
        <w:ind w:firstLine="420"/>
      </w:pPr>
      <w:r>
        <w:rPr>
          <w:rFonts w:ascii="仿宋_GB2312" w:hAnsi="仿宋_GB2312" w:eastAsia="仿宋_GB2312"/>
          <w:b w:val="0"/>
          <w:sz w:val="32"/>
        </w:rPr>
        <w:t>值得关注的是，集群内小微企业数量众多但单体规模偏小，抗风险能力与技改能力较弱，发展质量有待提升。持续推进“小升规”与专精特新培育，优化大中小企业的规模分布结构，是稳定集群韧性、提升整体竞争力的关键抓手与必须完成的长期任务，政策需持续加力。由此形成的良性循环，将为集群行稳致远提供坚实而持久的内在支撑。上述情况表明，相关环节仍有较大提升潜力与拓展空间，需持续发力加以巩固。</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从产权结构看，集群以民营资本为主，万事达、惠博新型材料、明锐钢板、新美达等均为民营企业，市场化程度高、经营机制灵活，是集群活力与创新能力的主要来源，也是出口拓展与品牌建设的绝对主力军，民营经济的生力军作用发挥得较为充分，是集群创新的重要策源地。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部分龙头企业经历了混合所有制或并购重组，产权结构更趋多元，有利于引入外部资本与管理资源，支撑企业规模化与国际化拓展，并提升公司治理的现代化与规范化水平。京博物流等国有背景企业在多式联运、仓储等公共领域发挥引导作用，释放了改革红利，激发了内生动力。从中可见，夯实产业基础并稳步固链强链，是稳当前、谋长远的必然选择。</w:t>
      </w:r>
    </w:p>
    <w:p>
      <w:pPr>
        <w:spacing w:lineRule="exact" w:line="600" w:after="0"/>
        <w:ind w:firstLine="420"/>
      </w:pPr>
      <w:r>
        <w:rPr>
          <w:rFonts w:ascii="仿宋_GB2312" w:hAnsi="仿宋_GB2312" w:eastAsia="仿宋_GB2312"/>
          <w:b w:val="0"/>
          <w:sz w:val="32"/>
        </w:rPr>
        <w:t>国有资本在园区基础设施、智慧物流平台、公共服务等领域发挥引导作用，形成民营主体、政府平台互补型的产权格局，有效降低了中小企业进入门槛与初期投资风险，优化了整体营商环境与要素供给效率，体现了有为政府与有效市场的结合，公私协作增强了集群发展韧性。由此判断，把既有优势转化为持久竞争力，仍需久久为功、持续加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万事达是集群的领军企业，与立邦、巴斯夫等国际行业龙头合作，二〇二二年累计投入四千多万元启动十六个研发项目，科技成果转化效益达十亿元，是研发与品牌双轮驱动的标杆企业，引领效应突出，带动了配套企业共同提升，在质量体系与出口市场上发挥了关键示范带动作用。总体看，这一态势有利于集群提质增效，但短板亦不容忽视，须统筹施策。</w:t>
      </w:r>
    </w:p>
    <w:p>
      <w:pPr>
        <w:spacing w:lineRule="exact" w:line="600" w:after="0"/>
        <w:ind w:firstLine="420"/>
      </w:pPr>
      <w:r>
        <w:rPr>
          <w:rFonts w:ascii="仿宋_GB2312" w:hAnsi="仿宋_GB2312" w:eastAsia="仿宋_GB2312"/>
          <w:b w:val="0"/>
          <w:sz w:val="32"/>
        </w:rPr>
        <w:t>惠博新型材料同中国钢铁研究院合作组建先进金属材料涂镀地方联合实验室，基本实现核心技术全覆盖，拥有授权专利二十八项、其中发明专利九项，处于行业领先水平；明锐钢板投资一点二亿元建设镀铝锌镁产品生产线，打破国外技术“卡脖子”，产品远销东盟、拉美、日韩等高端市场。展望未来，在政策与市场共同作用下，相关领域有望迎来更高质量的发展。</w:t>
      </w:r>
    </w:p>
    <w:p>
      <w:pPr>
        <w:spacing w:lineRule="exact" w:line="600" w:after="0"/>
        <w:ind w:firstLine="420"/>
      </w:pPr>
      <w:r>
        <w:rPr>
          <w:rFonts w:ascii="仿宋_GB2312" w:hAnsi="仿宋_GB2312" w:eastAsia="仿宋_GB2312"/>
          <w:b w:val="0"/>
          <w:sz w:val="32"/>
        </w:rPr>
        <w:t>新美达以数字化新材料、余热发电项目推动全流程降碳减排；众鑫发板业引入数字平台实现能耗与质量实时监控，预计每年节约成本约七十万元；汇鑫板业布局出口型锌铝镁板材及高强钢产业基地。多家头部企业共同构成多层次、多赛道的企业梯队，头部矩阵日益壮大，支撑有力。应当看到，机遇与挑战并存，唯有主动作为方能巩固并扩大既有领先优势。</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沿产业链在县域内高度集聚，店子镇形成板材加工密集带，新型金属材料产业园则提供标准化载体，企业空间集聚度较高，便于供应链就近配套、物流协同与要素共享，显著降低了制度与交易成本，提升了整体运行效率，集聚经济效应逐步显现，成为集群竞争力的重要来源。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集聚呈现专业镇、产业园的双重特征：专业镇承载初加工与配套，产业园承载成长型与出口型企业，二者通过供应链紧密联动，形成“前店后厂”式的协作网络，显著提升了资源配置效率与产业组织化程度，协同效应明显，区域品牌逐步形成，专业化分工与空间集聚相互促进。需要强调的是，相关工作的系统性与协同性，直接关系集群升级的成败。</w:t>
      </w:r>
    </w:p>
    <w:p>
      <w:pPr>
        <w:spacing w:lineRule="exact" w:line="600" w:after="0"/>
        <w:ind w:firstLine="420"/>
      </w:pPr>
      <w:r>
        <w:rPr>
          <w:rFonts w:ascii="仿宋_GB2312" w:hAnsi="仿宋_GB2312" w:eastAsia="仿宋_GB2312"/>
          <w:b w:val="0"/>
          <w:sz w:val="32"/>
        </w:rPr>
        <w:t>需要重点关注集聚带来的环保与能耗压力，生态环境约束趋紧。彩涂环节挥发性有机物治理依赖集中治污与绿色工艺推广，新美达余热发电、富海材料智慧仓储等项目为同行提供了可借鉴的绿色制造范式，值得在集群内全面推广，以绿色集聚夯实可持续发展根基，实现集聚与生态双赢。综合研判，集群已具备一定基础，下一步须在补链延链上取得实质性突破。</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总体来看，集群研发投入呈现龙头强、中小弱的格局，创新资源配置不够均衡。县财政设立专项资金用于品牌培育，鼓励企业加大研发投入；依托山东千乘产业技术研究院新型金属材料分院等平台攻克共性技术难题，是研发活动的引领者，带动了全行业技术创新与自主研发能力的系统性提升。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龙头企业正将研发投向高端化、绿色化方向，高度契合集群转型定位。万事达二〇二二年投入四千多万元启动十六个研发项目；惠博新型材料与中国钢铁研究院合作组建实验室，研发导向日益清晰且更具市场针对性，研发投入的产出效率逐步改善，研发与市场的衔接更加紧密。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中小企业受规模约束，研发投入普遍偏低，多数以工艺改良与设备更新为主，原始创新能力薄弱。政府通过“科技镇长团”“京博N1N”产教融合等机制推送惠企政策，助力企业减轻负担、腾出技改资金，间接提升了创新投入能力，但力度仍需加大，以弥补中小企业创新短板。从长远计，构建开放协同的创新生态，是破解瓶颈制约的关键着力点所在。</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绿色制造与标准制定领域成果突出。全行业拥有七百六十二项专利、十六项国家及行业标准，“博兴制造”成为高品质代名词；培育山东名牌产品八个、山东著名商标和国际商标四个，创新成果厚实，质量话语权与行业影响力稳步增强，转型成效可圈可点。说明相关举措已初见成效，但要把成果做深做实，仍须常抓不懈、久久为功。</w:t>
      </w:r>
    </w:p>
    <w:p>
      <w:pPr>
        <w:spacing w:lineRule="exact" w:line="600" w:after="0"/>
        <w:ind w:firstLine="420"/>
      </w:pPr>
      <w:r>
        <w:rPr>
          <w:rFonts w:ascii="仿宋_GB2312" w:hAnsi="仿宋_GB2312" w:eastAsia="仿宋_GB2312"/>
          <w:b w:val="0"/>
          <w:sz w:val="32"/>
        </w:rPr>
        <w:t>产品创新上，镀铝锌镁、锌铝镁板材、高强钢等新品持续涌现。明锐钢板镀铝锌镁产品应用于建筑、电器、汽车、光伏等多个领域，二〇二四年十一月获评“山东省企业典型创新案例”；水性涂料、粉末喷涂等绿色工艺推广，体现出集群从传统板材向功能性、绿色化产品迭代的创新能力。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数字化创新方面，众鑫发板业借助华为云推进“智改数转”，实现能耗统计准确率提升至百分之百、统计效率提升百分之九十五；一批高端化、智能化、精细化的“制造精品”陆续面世，体现出集群从传统制造向数字化、智能化转型的创新活力，产品矩阵不断向高附加值方向优化升级。这对稳定经营主体预期、激发市场活力将发挥重要的牵引与保障作用。</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公共创新平台以企业自建为主，公共属性偏弱。万事达、惠博等龙头企业研发载体支撑工艺改进与质量管控，但平台的开放共享程度有限，中小企业受益面不够宽，公共属性有待强化，需要政府加大统筹力度，推动龙头企业平台向中小企业有序开放，扩大创新成果的普惠共享面。需以底线思维统筹发展与安全，在变化中牢牢把握集群发展的战略主动。</w:t>
      </w:r>
    </w:p>
    <w:p>
      <w:pPr>
        <w:spacing w:lineRule="exact" w:line="600" w:after="0"/>
        <w:ind w:firstLine="420"/>
      </w:pPr>
      <w:r>
        <w:rPr>
          <w:rFonts w:ascii="仿宋_GB2312" w:hAnsi="仿宋_GB2312" w:eastAsia="仿宋_GB2312"/>
          <w:b w:val="0"/>
          <w:sz w:val="32"/>
        </w:rPr>
        <w:t>政府层面搭建山东千乘产业技术研究院新型金属材料分院，配套六千万元科技人才奖励基金，探索“科技镇长团”等产教融合模式；新型金属材料产业园面向高端镀层与高强钢搭建共享平台，公共服务供给不断优化，企业获得感逐步增强，公共平台在降低中小企业创新门槛上开始发挥积极作用。这也对营商环境与公共服务提出了更高要求，须持续用力、不断优化提升。</w:t>
      </w:r>
    </w:p>
    <w:p>
      <w:pPr>
        <w:spacing w:lineRule="exact" w:line="600" w:after="0"/>
        <w:ind w:firstLine="420"/>
      </w:pPr>
      <w:r>
        <w:rPr>
          <w:rFonts w:ascii="仿宋_GB2312" w:hAnsi="仿宋_GB2312" w:eastAsia="仿宋_GB2312"/>
          <w:b w:val="0"/>
          <w:sz w:val="32"/>
        </w:rPr>
        <w:t>从平台层级看，集群尚缺高能级产业技术研究院、省级重点实验室等公共研发载体，创新资源以企业内部闭环为主，外部协同与成果转化的公共平台有待补强。目前全行业拥有国家级专精特新“小巨人”企业两家、省级以上创新平台十三个，创新平台能级仍需进一步提升。总体判断，只要方向明确、举措得当，集群完全有能力迈上更高的发展能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方面，龙头企业示范效应明显，转化路径清晰。明锐钢板借助产业链博士团对接活动，由高校博士与企业研发团队联合攻关，顺利完成镀铝锌镁新技术研发调试，迅速填补业内空白，技术红利转化路径清晰、见效快，发挥了良好的辐射带动与标杆引领作用。此类探索为同类地区提供了可借鉴经验，其示范价值值得充分肯定与推广。把规划蓝图变为现实成果，关键在于狠抓落实、强化督导并形成管理闭环。</w:t>
      </w:r>
    </w:p>
    <w:p>
      <w:pPr>
        <w:spacing w:lineRule="exact" w:line="600" w:after="0"/>
        <w:ind w:firstLine="420"/>
      </w:pPr>
      <w:r>
        <w:rPr>
          <w:rFonts w:ascii="仿宋_GB2312" w:hAnsi="仿宋_GB2312" w:eastAsia="仿宋_GB2312"/>
          <w:b w:val="0"/>
          <w:sz w:val="32"/>
        </w:rPr>
        <w:t>政府围绕龙头企业补链延链，精准破解融资与人才难题，营造公平有序市场环境，推动“公司+基地+农户”等模式，使先进技术通过供应链向配套企业外溢，扩大了技术转化的覆盖面与受益群体，普惠性强，技术扩散的乘数效应逐步显现，先进技术加快向产业链上下游渗透。把规划蓝图变为现实成果，关键在于狠抓落实、强化督导并形成管理闭环。</w:t>
      </w:r>
    </w:p>
    <w:p>
      <w:pPr>
        <w:spacing w:lineRule="exact" w:line="600" w:after="0"/>
        <w:ind w:firstLine="420"/>
      </w:pPr>
      <w:r>
        <w:rPr>
          <w:rFonts w:ascii="仿宋_GB2312" w:hAnsi="仿宋_GB2312" w:eastAsia="仿宋_GB2312"/>
          <w:b w:val="0"/>
          <w:sz w:val="32"/>
        </w:rPr>
        <w:t>需要关注的是，中小企业技术获取渠道有限，转化能力偏弱，创新孤岛现象存在。强化产学研合作、建设公共中试与检测平台，将有利于提升集群整体技术转化效率与成果落地率，缩小企业之间的能力差距，促进协同共进，让创新成果更快转化为现实生产力。相关经验若能在集群内有序复制推广，将显著放大整体发展的协同效应。这表明市场与政府同向发力，是提升产业能级与竞争力的有效实现路径。</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用工以本地产业工人为主，冷轧、镀锌、彩涂、剪切等环节吸纳大量县域就业，是稳就业的重要载体，社会效益显著。全行业从业人员近六万名，龙头企业带动上下游用工规模可观，社会效益突出，联农带农作用明显，为农民增收作出重要贡献，就业吸纳能力在县域产业中名列前茅。这表明市场与政府同向发力，是提升产业能级与竞争力的有效实现路径。</w:t>
      </w:r>
    </w:p>
    <w:p>
      <w:pPr>
        <w:spacing w:lineRule="exact" w:line="600" w:after="0"/>
        <w:ind w:firstLine="420"/>
      </w:pPr>
      <w:r>
        <w:rPr>
          <w:rFonts w:ascii="仿宋_GB2312" w:hAnsi="仿宋_GB2312" w:eastAsia="仿宋_GB2312"/>
          <w:b w:val="0"/>
          <w:sz w:val="32"/>
        </w:rPr>
        <w:t>技能结构方面，产线操作、涂装等岗位以熟练工为主，研发、品控、电商等岗位对专业技能要求较高，存在结构性错配。政府通过免费培训、数字专员培育等机制缓解结构性用工矛盾，提升了劳动力素质，促进了更高质量就业，但高技能人才供给仍显不足，技能短板需补齐。对中小企业而言，融入这一进程既是挑战，更是实现能级跃升的重要契机。</w:t>
      </w:r>
    </w:p>
    <w:p>
      <w:pPr>
        <w:spacing w:lineRule="exact" w:line="600" w:after="0"/>
        <w:ind w:firstLine="420"/>
      </w:pPr>
      <w:r>
        <w:rPr>
          <w:rFonts w:ascii="仿宋_GB2312" w:hAnsi="仿宋_GB2312" w:eastAsia="仿宋_GB2312"/>
          <w:b w:val="0"/>
          <w:sz w:val="32"/>
        </w:rPr>
        <w:t>随着自动化产线普及，集群对高技能运维与数字化人才需求上升，人才需求结构正在重塑。博兴以“科技镇长团”“京博N1N”等机制引入外部智力，但高端材料研发与品牌运营人才仍显不足，需持续引进培育与保留，方能支撑转型，人才短板亟待补齐，应纳入集群发展优先议程。由此形成的良性循环，将为集群行稳致远提供坚实而持久的内在支撑。</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供给方面，博兴县发挥驻企服务专员和金融管家作用，搭建“政银企”对接平台，分类施策发力，精准破解融资难题，激活了市场主体。产业链“链长制”统筹土地、能耗、资金等核心要素向高效企业集中，资本配置效率较高，金融活水对实体产业的支持作用得到有效发挥。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龙头企业融资能力强，通过并购重组与资本市场引入资本；中小企业主要依赖普惠金融与信贷贴息，融资渠道相对单一。政府优先保障带动就业多的企业在项目申报、信贷贴息、用地指标上的合理需求，政策导向鲜明、靶向精准，但中小企业直接融资比重仍待提高，融资结构需优化。从中可见，夯实产业基础并稳步固链强链，是稳当前、谋长远的必然选择。</w:t>
      </w:r>
    </w:p>
    <w:p>
      <w:pPr>
        <w:spacing w:lineRule="exact" w:line="600" w:after="0"/>
        <w:ind w:firstLine="420"/>
      </w:pPr>
      <w:r>
        <w:rPr>
          <w:rFonts w:ascii="仿宋_GB2312" w:hAnsi="仿宋_GB2312" w:eastAsia="仿宋_GB2312"/>
          <w:b w:val="0"/>
          <w:sz w:val="32"/>
        </w:rPr>
        <w:t>从资本效率看，新美达数字化新材料、汇鑫板业锌铝镁板材等一批重大项目投资强度大，需持续引入产业基金与社会资本。健全主体分类、阶段适配的资金支持体系，是提升资本配置效率、撬动社会投资的关键所在，也是稳链强链的基础，须久久为功构建可持续的产业投融资体系。由此判断，把既有优势转化为持久竞争力，仍需久久为功、持续加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要素上，集群以专业镇与新型金属材料产业园为载体，为精深加工与绿色制造预留了充足空间，载体保障有力。但部分乡镇企业受用地指标约束，扩张与技改空间仍显受限，需要盘活存量、优化增量配置，提高土地利用集约化水平，以更少土地承载更高质量的发展。总体看，这一态势有利于集群提质增效，但短板亦不容忽视，须统筹施策。</w:t>
      </w:r>
    </w:p>
    <w:p>
      <w:pPr>
        <w:spacing w:lineRule="exact" w:line="600" w:after="0"/>
        <w:ind w:firstLine="420"/>
      </w:pPr>
      <w:r>
        <w:rPr>
          <w:rFonts w:ascii="仿宋_GB2312" w:hAnsi="仿宋_GB2312" w:eastAsia="仿宋_GB2312"/>
          <w:b w:val="0"/>
          <w:sz w:val="32"/>
        </w:rPr>
        <w:t>能耗方面，彩涂与镀锌属中等能耗行业，节能降碳任务不轻。博兴推广水性涂料、粉末喷涂等绿色工艺，新美达实施余热发电、富海材料建设智慧仓储，探索分布式光伏与自用储能电站等低碳模式，每年减碳成效显著，绿色制造水平在行业内处于领先地位，经验值得推广。展望未来，在政策与市场共同作用下，相关领域有望迎来更高质量的发展。</w:t>
      </w:r>
    </w:p>
    <w:p>
      <w:pPr>
        <w:spacing w:lineRule="exact" w:line="600" w:after="0"/>
        <w:ind w:firstLine="420"/>
      </w:pPr>
      <w:r>
        <w:rPr>
          <w:rFonts w:ascii="仿宋_GB2312" w:hAnsi="仿宋_GB2312" w:eastAsia="仿宋_GB2312"/>
          <w:b w:val="0"/>
          <w:sz w:val="32"/>
        </w:rPr>
        <w:t>需要重点关注彩涂环节挥发性有机物治理与异味治理，环保约束持续收紧。集群通过集中治污、绿色工艺推广降低环境影响，但产能持续扩张对能耗与排放指标形成压力，绿色化改造必须持续推进、久久为功，守住生态底线，实现产业发展与环境保护双赢。应当看到，机遇与挑战并存，唯有主动作为方能巩固并扩大既有领先优势。实践说明，依托龙头带动与协同配套，可有效提升整体运行效率与抗风险韧性。</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料端以外部钢材调入为主，博兴金属板材产业呈现原料与产成品“两头在外”的特征，本地并不具备上游冶炼产能，原料结构存在较高外部依赖，需引起重视，增强自主可控能力，降低外部市场波动对成本端的冲击，原料安全保障需强化。实践说明，依托龙头带动与协同配套，可有效提升整体运行效率与抗风险韧性。需要强调的是，相关工作的系统性与协同性，直接关系集群升级的成败。</w:t>
      </w:r>
    </w:p>
    <w:p>
      <w:pPr>
        <w:spacing w:lineRule="exact" w:line="600" w:after="0"/>
        <w:ind w:firstLine="420"/>
      </w:pPr>
      <w:r>
        <w:rPr>
          <w:rFonts w:ascii="仿宋_GB2312" w:hAnsi="仿宋_GB2312" w:eastAsia="仿宋_GB2312"/>
          <w:b w:val="0"/>
          <w:sz w:val="32"/>
        </w:rPr>
        <w:t>政策层面，博兴县扶持高端镀层、高强钢等特色加工升级，推动初加工向精深加工转型，丰富高端金属材料的品种谱系，增强本地特色产品的附加值与产业黏性，延伸了价值链前端，提升了原料端竞争力，为集群向高端攀升提供了更丰富的资源支撑，原料端创新持续推进。需要强调的是，相关工作的系统性与协同性，直接关系集群升级的成败。</w:t>
      </w:r>
    </w:p>
    <w:p>
      <w:pPr>
        <w:spacing w:lineRule="exact" w:line="600" w:after="0"/>
        <w:ind w:firstLine="420"/>
      </w:pPr>
      <w:r>
        <w:rPr>
          <w:rFonts w:ascii="仿宋_GB2312" w:hAnsi="仿宋_GB2312" w:eastAsia="仿宋_GB2312"/>
          <w:b w:val="0"/>
          <w:sz w:val="32"/>
        </w:rPr>
        <w:t>从资源保障看，本地不依赖自有矿山，钢材原料主要依赖外部市场与进口，供应链韧性有待增强。增强原料基地合作与供应链韧性，布局海外仓与多元化采购，是稳定集群成本与品质、抵御价格波动的重要基础性工作，须常抓不懈，筑牢产业链供应链稳定运行的安全底线。综合研判，集群已具备一定基础，下一步须在补链延链上取得实质性突破。</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上，集群产品覆盖装配式建筑、新型建材、家电、汽车、光伏等多元渠道，市场触达广泛。随着绿色建筑与新型城镇化推进，高端镀层板、高强钢需求上升，博兴以工业化思维重塑板材版图，推动产品向中高端方向升级，高度契合国内需求结构的深刻变化，国内大循环支点作用日益显现。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消费趋势上，绿色化、高端化需求上升，带动水性涂料板材、轻量化高强钢增长，需求结构加快升级。博兴县推动产品向装配式建筑、新型建材方向升级，市场前景广阔，内需潜力正在加速释放，消费升级红利逐步显现，国内市场份额有望稳步扩大。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需要关注国内市场竞争加剧与渠道费用上行，盈利空间受到挤压。集群品牌整体影响力有限，除“鲁匠”“斐普特”等少数品牌外，大量中小企业仍以区域批发与代工为主，终端溢价能力偏弱，亟待系统性品牌破局与渠道重构，提升价值链地位，摆脱低端代工困境。从长远计，构建开放协同的创新生态，是破解瓶颈制约的关键着力点所在。说明相关举措已初见成效，但要把成果做深做实，仍须常抓不懈、久久为功。</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出口是集群的突出优势，外向型特征鲜明。产品远销“一带一路”共建国家以及东欧、南美等一百四十多个国家和地区，年出口额占全县外贸总值的六成，国际竞争力强，外汇贡献突出，出口成为集群稳增长的重要引擎，外贸基本盘稳固，是山东省重要的金属型材外贸基地。说明相关举措已初见成效，但要把成果做深做实，仍须常抓不懈、久久为功。</w:t>
      </w:r>
    </w:p>
    <w:p>
      <w:pPr>
        <w:spacing w:lineRule="exact" w:line="600" w:after="0"/>
        <w:ind w:firstLine="420"/>
      </w:pPr>
      <w:r>
        <w:rPr>
          <w:rFonts w:ascii="仿宋_GB2312" w:hAnsi="仿宋_GB2312" w:eastAsia="仿宋_GB2312"/>
          <w:b w:val="0"/>
          <w:sz w:val="32"/>
        </w:rPr>
        <w:t>从出口结构看，集群以镀锌板、彩涂板、钢结构为主，依托品质与规模获得国际客户认可，出口额占企业总产值比重较高，外向度在全省县域制造业中稳居前列，是外贸稳增长的重要支撑，抗周期能力强，在国际市场波动中展现出较强韧性，出口结构持续优化。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需要关注国际经贸壁垒与汇率波动风险，外部环境不确定性上升。巩固东欧、南美、“一带一路”市场，拓展高端镀层板出口渠道，并提升自主品牌出口比例，是稳定外贸基本盘、增强抗风险能力的关键举措，须未雨绸缪，加快构建多元稳定的出口市场格局。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矩阵上，集群拥有“鲁匠”“斐普特”“容重实业”等打入国际高端市场的品牌，以及八个山东名牌产品、四个山东著名商标和国际商标，品牌辨识度在省内领先。但整体上仍以企业品牌为主，集群区域公用品牌偏弱，资源整合不足，难以形成合力，区域品牌效应尚未充分释放。需以底线思维统筹发展与安全，在变化中牢牢把握集群发展的战略主动。</w:t>
      </w:r>
    </w:p>
    <w:p>
      <w:pPr>
        <w:spacing w:lineRule="exact" w:line="600" w:after="0"/>
        <w:ind w:firstLine="420"/>
      </w:pPr>
      <w:r>
        <w:rPr>
          <w:rFonts w:ascii="仿宋_GB2312" w:hAnsi="仿宋_GB2312" w:eastAsia="仿宋_GB2312"/>
          <w:b w:val="0"/>
          <w:sz w:val="32"/>
        </w:rPr>
        <w:t>万事达以国际合作与研发驱动提升品牌内涵，惠博以核心技术筑牢品牌背书，体现出“品质+技术”双轮驱动的品牌建设路径，为中小企业提供了可借鉴可复制的范式，说明技术壁垒与品质背书是品牌建设的关键支点，品牌方法论日益清晰，示范价值突出。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需要重点培育“博兴金属板材”区域公用品牌，整合分散的企业品牌资源，借助电商与展会统一对外形象，提升集群整体品牌溢价与全国市场认知度，避免内部品牌资源耗散，做强区域名片，以区域公用品牌统领企业品牌协同发展，以品牌之力提升产业整体价值。总体判断，只要方向明确、举措得当，集群完全有能力迈上更高的发展能级。此类探索为同类地区提供了可借鉴经验，其示范价值值得充分肯定与推广。</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绿色化、高端化、定制化的三大趋势，消费变革深刻。装配式建筑、绿色建筑标准提升，带动高端镀层板、高强钢、锌铝镁板材需求增长，为集群产品升级指明方向，市场空间广阔且增长确定性较强，战略机遇难得，应抓紧布局抢占先机，把需求变化转化为产品升级动力。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新能源与新兴产业需求快速增长，推动板材企业向光伏支架、汽车轻量化材料延伸，产业升级窗口打开。明锐钢板镀铝锌镁产品应用于光伏、汽车等领域，反映出新材料需求与内销双轮扩张的态势，需求拉动效应明显，应当顺应趋势扩大高附加值产能，抢占新消费风口。把规划蓝图变为现实成果，关键在于狠抓落实、强化督导并形成管理闭环。</w:t>
      </w:r>
    </w:p>
    <w:p>
      <w:pPr>
        <w:spacing w:lineRule="exact" w:line="600" w:after="0"/>
        <w:ind w:firstLine="420"/>
      </w:pPr>
      <w:r>
        <w:rPr>
          <w:rFonts w:ascii="仿宋_GB2312" w:hAnsi="仿宋_GB2312" w:eastAsia="仿宋_GB2312"/>
          <w:b w:val="0"/>
          <w:sz w:val="32"/>
        </w:rPr>
        <w:t>消费渠道向跨境电商、线上交易迁移，对集群供应链响应速度提出更高要求。补齐数字化流通短板、建设“产业大脑”与线上交易平台，方能更好承接需求端的结构性变化，抢占增量市场，赢得发展主动，实现供给与需求的更高水平动态适配，以敏捷供应链响应新需求。相关经验若能在集群内有序复制推广，将显著放大整体发展的协同效应。这表明市场与政府同向发力，是提升产业能级与竞争力的有效实现路径。</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从区域竞争看，我国是金属板材生产大国，唐山、博兴、山东及周边地区产能集中，区域竞争日趋激烈。博兴在镀锌板、彩涂板领域特色鲜明、规模领先，但在高端镀层板、功能性涂层赛道面临周边强县的激烈竞争，必须走差异化发展道路，避免正面同质化竞争，在细分领域构筑比较优势。这表明市场与政府同向发力，是提升产业能级与竞争力的有效实现路径。</w:t>
      </w:r>
    </w:p>
    <w:p>
      <w:pPr>
        <w:spacing w:lineRule="exact" w:line="600" w:after="0"/>
        <w:ind w:firstLine="420"/>
      </w:pPr>
      <w:r>
        <w:rPr>
          <w:rFonts w:ascii="仿宋_GB2312" w:hAnsi="仿宋_GB2312" w:eastAsia="仿宋_GB2312"/>
          <w:b w:val="0"/>
          <w:sz w:val="32"/>
        </w:rPr>
        <w:t>滨州市内邹平高端铝、博兴金属板材等集群共同发展，市级层面提出梯次培育千亿级产业集群，区域间在政策与要素资源上存在一定竞争，需要明确各自的差异化定位与分工，形成错位发展格局，避免市内集群之间的内耗与重复建设，以市域协同提升整体竞争力。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全国层面，河北、江苏等地板材产业集群规模化程度高，竞争压力来自更广阔范围。博兴需以绿色制造与出口品质实现差异化突围，避免在通用彩基板领域陷入低价同质竞争，坚定不移地走专精特新、特色取胜之路，锻造独特竞争优势，守住并扩大市场份额。由此形成的良性循环，将为集群行稳致远提供坚实而持久的内在支撑。上述情况表明，相关环节仍有较大提升潜力与拓展空间，需持续发力加以巩固。</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首推产业链两端薄弱：研发设计与品牌零售能力不足，大量中小企业以初加工、代工为主，附加值捕获有限，制约了集群整体效益提升与价值链向高端环节攀升的速度与质量，迫切需要通过创新加以破解，扭转低端锁定的被动局面，以两端突破提升全链效益。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其次是企业规模结构失衡，小微企业多、抗风险弱，绿色技改与数字化转型投入不足；部分园区公共配套与环保设施滞后，影响产品品质与可持续盈利空间，成为制约升级的瓶颈因素，需要系统施策、协同破解，以结构优化释放发展潜能，筑牢可持续发展根基。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再次是创新平台层级偏低，缺少高能级公共研发与中试载体，技术成果主要在企业内部闭环，中小企业难以共享，制约了集群协同创新效率与整体技术进步速度的同步提升，亟待补齐平台短板，强化公共服务，构建开放协同的创新生态体系，以平台支撑创新驱动。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方面，钢材原料价格受国际市场波动影响，成本端不确定性上升；国际经贸壁垒、汇率波动对出口占比高的企业构成持续压力，需要建立有效的风险对冲、预警与应急储备机制，增强发展的稳健性，提高集群应对外部冲击的韧性与快速修复能力。总体看，这一态势有利于集群提质增效，但短板亦不容忽视，须统筹施策。展望未来，在政策与市场共同作用下，相关领域有望迎来更高质量的发展。</w:t>
      </w:r>
    </w:p>
    <w:p>
      <w:pPr>
        <w:spacing w:lineRule="exact" w:line="600" w:after="0"/>
        <w:ind w:firstLine="420"/>
      </w:pPr>
      <w:r>
        <w:rPr>
          <w:rFonts w:ascii="仿宋_GB2312" w:hAnsi="仿宋_GB2312" w:eastAsia="仿宋_GB2312"/>
          <w:b w:val="0"/>
          <w:sz w:val="32"/>
        </w:rPr>
        <w:t>环保监管趋严，彩涂挥发性有机物与固废治理标准提高，部分环保设施薄弱的中小企业面临整改与退出风险，对集群稳定发展形成挑战，绿色转型已经迫在眉睫、刻不容缓，须主动作为，加快改造提升步伐，以绿色合规筑牢生存发展底线，以绿色转型赢得未来空间。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消费需求迭代加快，若产品升级跟不上绿色化、高端化节奏，集群可能被新兴产区替代，竞争劣势放大。需以持续创新与品牌建设对冲外部不确定性，巩固既有的特色优势与市场领先地位，保持战略定力、行稳致远，在变化中把握发展主动权，以动态能力应对外部变局。应当看到，机遇与挑战并存，唯有主动作为方能巩固并扩大既有领先优势。</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黄河流域生态保护和高质量发展战略为集群提供方向指引，山东省特色产业集群培育机制是集群获省级认定的重要制度基础，导向清晰，政策协同性不断增强，为集群发展营造了良好的顶层制度环境，国家战略红利持续释放，绿色转型获得明确政策支撑。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省级层面，山东省中小企业特色产业集群名单将博兴金属板材纳入，并配套专精特新、绿色工厂等专项政策，为集群企业争取资质与资金提供支持，政策叠加效应日益明显，红利持续释放，企业获得感不断提升，省级赋能成效显著，特色产业集群建设步入快车道。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市级层面，滨州市将新型金属材料作为重点产业链，出台链长制实施意见，谋划七条重点产业链均由县级领导担任“链长”，在培育力度与资源倾斜上持续加码，营造了重视集群、支持集群的浓厚氛围，形成上下合力，为集群争取更多要素支撑创造了条件。综合研判，集群已具备一定基础，下一步须在补链延链上取得实质性突破。可以预见，随着要素保障逐步完善，集群发展动能将得到进一步释放与增强。</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博兴县建立主体分类、阶段适配政策支持体系，对万事达、惠博等龙头扶持精深加工与智能化改造，对中小企业推广普惠政策，实现分类精准滴灌、靶向施策，政策靶向性与实效性显著增强，不同主体都能获得与其发展阶段相匹配的扶持，政策供给更趋精准，扶持效能稳步提升。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资金精准滴灌方面，出台《关于加快推进新型金属材料产业高质量发展的实施意见》“十七条金政”，研究专项品牌建设补贴，通过购买服务等方式为企业品牌建设提供辅导；对新技术新产品生产线实施鼓励建设政策，着力破解产业短板，让有限财政资金产生最大撬动效应。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营商环境上，博兴深化“放管服”改革，打造“无证明县”，健全政银企沟通机制，开展“益企联心”“护企联盟”等暖企行动，解决企业用地、融资、通关等难题，企业获得感显著增强，投资信心稳步回升，亲清政商关系与高效服务成为集群软实力，营商环境持续优化。从长远计，构建开放协同的创新生态，是破解瓶颈制约的关键着力点所在。</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以园区与数字平台为主，载体体系逐步健全。新型金属材料产业园为成长型企业提供标准化厂房与资质辅导，承载高端镀层与高强钢项目，载体能级较高，承载能力较强，为项目落地提供坚实支撑，降低了企业初始投资强度，载体保障有力，集聚效应持续放大。说明相关举措已初见成效，但要把成果做深做实，仍须常抓不懈、久久为功。</w:t>
      </w:r>
    </w:p>
    <w:p>
      <w:pPr>
        <w:spacing w:lineRule="exact" w:line="600" w:after="0"/>
        <w:ind w:firstLine="420"/>
      </w:pPr>
      <w:r>
        <w:rPr>
          <w:rFonts w:ascii="仿宋_GB2312" w:hAnsi="仿宋_GB2312" w:eastAsia="仿宋_GB2312"/>
          <w:b w:val="0"/>
          <w:sz w:val="32"/>
        </w:rPr>
        <w:t>数字配套上，博兴加快布局“产业大脑”与工业互联网，以数字赋能新“风口”；依托山东千乘产业技术研究院新型金属材料分院补齐管理与品控短板，公共服务体系日臻完善，企业满意度提升，数字化公共服务开始显现降本增效的乘数作用，公共配套效能稳步提升。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需要关注的是，面向中小企业的公共检测、中试、电商直播等共享服务仍不充分，应加快补齐，降低小微企业进入高附加值环节的门槛与成本，促进整体能级稳步提升与公平竞争，让更多中小企业享公共服务红利，缩小企业间能力差距，以共享服务普惠中小企业。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金属板业商会在质量标准推广、品牌建设、信用监管上发挥重要作用，行业自律逐步加强。博兴引导商会组织开展“信用承诺宣言”活动，二十余家骨干企业公开签署诚信公约，维护区域产品质量声誉，守住质量底线，为健康发展保驾护航，行业自我约束机制逐步形成。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从组织形态看，集群依托“链长制”与龙头企业带动，商会的纽带功能日益增强。博兴打造“e盏茶事”协商平台，创新“二十四节气茶会”恳谈机制，累计召开产业座谈会十余次，收集企业建议五十条，推动解决用地审批、外贸通关等共性难题二十余项，协同效率显著提升。这也对营商环境与公共服务提出了更高要求，须持续用力、不断优化提升。</w:t>
      </w:r>
    </w:p>
    <w:p>
      <w:pPr>
        <w:spacing w:lineRule="exact" w:line="600" w:after="0"/>
        <w:ind w:firstLine="420"/>
      </w:pPr>
      <w:r>
        <w:rPr>
          <w:rFonts w:ascii="仿宋_GB2312" w:hAnsi="仿宋_GB2312" w:eastAsia="仿宋_GB2312"/>
          <w:b w:val="0"/>
          <w:sz w:val="32"/>
        </w:rPr>
        <w:t>建议进一步强化金属板业商会在公用品牌、集体商标、组团参展等方面的统筹作用，提升中小企业抱团发展与应对外部风险的能力，弥补政府服务的市场化盲区与短板，形成多元治理格局，增强行业自律与凝聚力，让协会真正成为连接政企的桥梁纽带。总体判断，只要方向明确、举措得当，集群完全有能力迈上更高的发展能级。此类探索为同类地区提供了可借鉴经验，其示范价值值得充分肯定与推广。</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集群对县域经济支撑作用突出。二〇二五年全县规模以上板材企业实现产值八百三十六点二亿元，占县域工业比重持续上升，成为第一大支柱产业，对工业增长的贡献十分突出，压舱石作用明显，发展质量稳步改善，经济支撑地位稳固，是县域经济的核心增长极。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集群带动上下游协同产出，从冷轧镀锌到彩涂施工、物流出口形成产值闭环，一百七十一家规上企业构成稳定税源与工业增长极，产业关联带动效应明显，乘数效应可观，拉动面广，对区域经济的辐射带动能力持续增强，产业链上下游受益面广，经济溢出效应显著。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出口对经济的拉动突出，产品远销一百四十多个国家和地区，外汇收入与高端市场进入能力增强了集群经济的外向型韧性与抗周期能力，提升了经济发展的内在稳定性与安全性，为稳增长作出重要贡献，对外开放成为集群发展的重要引擎，外向型经济韧性增强。相关经验若能在集群内有序复制推广，将显著放大整体发展的协同效应。这表明市场与政府同向发力，是提升产业能级与竞争力的有效实现路径。</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突出，集群是县域稳就业的主渠道。冷轧、镀锌、彩涂、剪切等环节劳动密集，吸纳大量县域产业工人，全行业从业人员近六万名，稳就业作用巨大，民生意义深远，是社会稳定的重要基石，惠及广大城乡群众，就业吸纳能力突出，社会效益显著。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集群通过产业链协作联结配套企业，使中小商户以劳务输出、半成品供应融入产业链，共享产业发展收益，助力居民增收，体现了联农带农的鲜明社会价值与共同富裕导向，让产业发展成果惠及更广群体，乡村振兴与产业发展实现良性互促，带农富农成效显著。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从就业质量看，自动化产线提升效率的同时，对高技能岗位需求上升，就业结构正在优化。政府免费技能培训推动劳动力结构优化，但高端研发与品牌人才仍显不足，需持续引进与培育，优化人才结构，实现更充分更高质量就业，增强人力资本支撑，以人才升级支撑就业提质。由此形成的良性循环，将为集群行稳致远提供坚实而持久的内在支撑。</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体现在产业链联动，公共投入撬动面广。新型金属材料产业园、“产业大脑”等公共投入，降低中小企业进入门槛，带动机械装配、金属涂料、物流包装等关联产业发展，放大了集群的经济外溢效应与区域辐射力，促进了县域经济整体繁荣，集群带动功能持续增强。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技术溢出方面，明锐钢板镀铝锌镁等经验通过供应链向合作企业外溢；绿色工艺与数字平台为中小企业提供示范样本，带动相关业态协同发展，综合效益多元而深远，为产业升级注入了新动能，创新成果的外部正效应不断显现，技术扩散带动区域整体进步，协同效应突出。从中可见，夯实产业基础并稳步固链强链，是稳当前、谋长远的必然选择。</w:t>
      </w:r>
    </w:p>
    <w:p>
      <w:pPr>
        <w:spacing w:lineRule="exact" w:line="600" w:after="0"/>
        <w:ind w:firstLine="420"/>
      </w:pPr>
      <w:r>
        <w:rPr>
          <w:rFonts w:ascii="仿宋_GB2312" w:hAnsi="仿宋_GB2312" w:eastAsia="仿宋_GB2312"/>
          <w:b w:val="0"/>
          <w:sz w:val="32"/>
        </w:rPr>
        <w:t>品牌溢出上，龙头企业的出口资质与品质形象提升博兴金属板材整体声誉，惠及配套中小企业，形成区域品牌的正向外部性，增强了集群整体市场竞争力与口碑，实现共赢发展，区域品牌价值不断提升，集群无形资产稳步积累，品牌外溢效应持续放大。由此判断，把既有优势转化为持久竞争力，仍需久久为功、持续加力。总体看，这一态势有利于集群提质增效，但短板亦不容忽视，须统筹施策。</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方面，集群壮大助力博兴县获评“中国金属板材之乡”等多项区域荣誉，提升了县域发展能级与民生福祉，产生了广泛而积极的社会影响与示范价值，群众获得感、幸福感增强，特色产业发展与县域形象提升实现良性互动，社会美誉度持续提升，区域名片更加响亮。总体看，这一态势有利于集群提质增效，但短板亦不容忽视，须统筹施策。</w:t>
      </w:r>
    </w:p>
    <w:p>
      <w:pPr>
        <w:spacing w:lineRule="exact" w:line="600" w:after="0"/>
        <w:ind w:firstLine="420"/>
      </w:pPr>
      <w:r>
        <w:rPr>
          <w:rFonts w:ascii="仿宋_GB2312" w:hAnsi="仿宋_GB2312" w:eastAsia="仿宋_GB2312"/>
          <w:b w:val="0"/>
          <w:sz w:val="32"/>
        </w:rPr>
        <w:t>绿色制造改善人居环境，新美达余热发电、富海材料智慧仓储、分布式光伏等模式减少排放，实现产业发展与生态保护的协同，高度契合黄河流域生态战略的内在要求，走出绿色发展新路子，生态环境效益与社会效益同步提升，绿色发展理念深入人心。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产业集聚丰富就业与创业场景，新型金属材料产业园成为创新创业高地，带动县域生产与生活方式升级，增强了居民对特色产业的认同感与获得感，社会效益呈现明显的多元化特征，城乡融合发展的成色更足，产业集群成为提升群众生活品质的重要依托，发展成果普惠共享。应当看到，机遇与挑战并存，唯有主动作为方能巩固并扩大既有领先优势。</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结来看，集群现存问题集中在四方面：一是产业链两端薄弱，研发设计与品牌零售能力不足；二是企业规模结构失衡，小微企业抗风险与技改能力弱；三是绿色制造与公共平台配套滞后；四是创新平台层级偏低，协同创新效率不高，短板制约明显，需系统施策加以破解。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从外部看，钢材原料价格波动、国际经贸壁垒、环保监管趋严构成持续挑战，需求端绿色化迭代加快对产品升级提出更高要求，外部环境的不确定性明显上升，容不得半点松懈与侥幸，必须增强忧患意识与底线思维，未雨绸缪应对各类风险，以底线思维统筹发展与安全。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总体判断，集群已具规模与特色优势，但向价值链高端攀升、向高端镀层与高强钢转型仍处于攻坚期，需以补链强链与创新驱动破解瓶颈，推动高质量发展行稳致远，迈上新台阶，在新一轮竞争中赢得主动，把特色优势转化为持久竞争优势，以转型升级重塑产业竞争力。综合研判，集群已具备一定基础，下一步须在补链延链上取得实质性突破。</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重点补齐研发设计、品牌流通与公共检测中试短板，落实“产业大脑”与线上交易平台规划，降低流通损耗与丰产不丰收风险，强化下游流通保障能力，稳住产业发展的基本盘与民生底盘，畅通从钢材到终端的链条，让优质产能转化为优质商品与稳定收益。可以预见，随着要素保障逐步完善，集群发展动能将得到进一步释放与增强。这对优化产业组织形态、增强发展韧性具有积极的现实支撑意义与长远价值。</w:t>
      </w:r>
    </w:p>
    <w:p>
      <w:pPr>
        <w:spacing w:lineRule="exact" w:line="600" w:after="0"/>
        <w:ind w:firstLine="420"/>
      </w:pPr>
      <w:r>
        <w:rPr>
          <w:rFonts w:ascii="仿宋_GB2312" w:hAnsi="仿宋_GB2312" w:eastAsia="仿宋_GB2312"/>
          <w:b w:val="0"/>
          <w:sz w:val="32"/>
        </w:rPr>
        <w:t>强链应巩固镀锌板、彩涂板规模优势，提升高端镀层板、锌铝镁板材、高强钢生产能力，推动龙头企业向装配式建筑、新型建材延伸，牢牢占据品质高地，增强国际市场竞争力与行业话语权，巩固优势、扩大高端市场份额，把规模优势转化为质量与品牌优势。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延链应发展绿色建材、装配式建筑与循环经济，依托龙头企业延伸消费场景，构建原料加工、绿色制造、工程服务一体化价值链，拓展价值空间与全新的增长曲线，打开更广阔的发展空间，培育新引擎，推动集群从卖板材向卖产品、卖服务升级，以延链打开价值新空间。从长远计，构建开放协同的创新生态，是破解瓶颈制约的关键着力点所在。</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专精特新双轮培育，壮大企业矩阵。支持万事达、惠博等龙头开展跨国合作与品牌建设，同时遴选成长型企业申报省级专精特新，推动“小升规”，持续优化企业梯度结构与产业生态，打造更具竞争力的企业矩阵，形成大中小企业协同发展新格局。说明相关举措已初见成效，但要把成果做深做实，仍须常抓不懈、久久为功。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强化企业孵化载体，发挥新型金属材料产业园作用，为乡镇企业提供标准化厂房、资质辅导与订单对接，加速小微企业规范化升级与产能稳步释放，增强内生动力，厚植集群发展根基，让更多小微企业成长为支撑集群的中坚力量，以载体赋能企业成长，激活微观活力。由此进一步印证，特色化、差异化的发展路径符合集群实际与自身比较优势。</w:t>
      </w:r>
    </w:p>
    <w:p>
      <w:pPr>
        <w:spacing w:lineRule="exact" w:line="600" w:after="0"/>
        <w:ind w:firstLine="420"/>
      </w:pPr>
      <w:r>
        <w:rPr>
          <w:rFonts w:ascii="仿宋_GB2312" w:hAnsi="仿宋_GB2312" w:eastAsia="仿宋_GB2312"/>
          <w:b w:val="0"/>
          <w:sz w:val="32"/>
        </w:rPr>
        <w:t>鼓励龙头企业开放供应链与技术，带动中小企业配套；建立产业链党建共建机制，稳定原料基地并共享产业收益，提升整体组织化水平与抗风险能力，实现共同富裕，让产业发展红利惠及更多主体，构建利益共享、风险共担的产业共同体，以共同体凝聚发展合力。这对稳定经营主体预期、激发市场活力将发挥重要的牵引与保障作用。需以底线思维统筹发展与安全，在变化中牢牢把握集群发展的战略主动。</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公共创新平台，依托新型金属材料产业园布局公共研发与中试中心，联合高校院所攻关高端镀层、高强钢等共性技术，弥补平台层级不足，更好服务中小企业，补上关键短板，提升整体技术创新供给能力，让中小企业也能共享高端创新资源，以平台支撑创新普惠。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推动数字化转型，扩大“产业大脑”覆盖，建设金属板材行业工业互联网平台，实现生产、物流、交易全链路数据贯通，提升质量追溯与柔性供给能力，实现降本增效与韧性提升并举，以数字化重塑产业竞争力，让数据成为集群新的生产要素与增长动能，以数字赋能提质增效。这也对营商环境与公共服务提出了更高要求，须持续用力、不断优化提升。</w:t>
      </w:r>
    </w:p>
    <w:p>
      <w:pPr>
        <w:spacing w:lineRule="exact" w:line="600" w:after="0"/>
        <w:ind w:firstLine="420"/>
      </w:pPr>
      <w:r>
        <w:rPr>
          <w:rFonts w:ascii="仿宋_GB2312" w:hAnsi="仿宋_GB2312" w:eastAsia="仿宋_GB2312"/>
          <w:b w:val="0"/>
          <w:sz w:val="32"/>
        </w:rPr>
        <w:t>引导研发投入向绿色化、高端化倾斜，支持企业开发水性涂料板材、锌铝镁、高强钢等新品，以产品创新提升价值链位置与出口溢价，增强核心竞争力与长期的市场话语权，以创新赢得未来，把创新摆在集群发展全局的核心位置，以创新引领产业升级。总体判断，只要方向明确、举措得当，集群完全有能力迈上更高的发展能级。此类探索为同类地区提供了可借鉴经验，其示范价值值得充分肯定与推广。</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向新型金属材料产业园、绿色制造项目倾斜，保障精深加工与物流用地；探索弹性年期与标准厂房供给，降低中小企业扩张成本，切实提高土地利用效率与单位面积产出强度，让有限土地承载更高质量的发展，以集约用地支撑集群集约发展，以土地要素保障升级空间。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资本要素延续金融管家机制，扩大普惠金融与信贷贴息，设立金属板材产业基金，重点支持绿色技改与数字化转型项目落地，撬动更多社会资本投入实体产业，壮大耐心资本，为产业升级提供源源不断的资金活水，缓解企业融资难、融资贵，以资本活水浇灌产业沃土。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人才要素加强材料研发、品牌运营与电商人才引进培育，完善技能培训体系，缓解高技能人才短缺，支撑集群向高附加值环节转型，夯实人才这一第一资源与根本竞争优势，以人才引领产业跃升，构建与集群升级相匹配的人才支撑体系，以人才动能驱动转型。相关经验若能在集群内有序复制推广，将显著放大整体发展的协同效应。这表明市场与政府同向发力，是提升产业能级与竞争力的有效实现路径。</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强化顶层统筹，将金属板材纳入县域“十五五”重点产业链，制定专项行动计划，明确规模、品牌与出口目标，稳定政策预期，引导各类资源向集群高效集聚，形成政策合力，避免碎片化扶持导致资源分散，以系统思维谋划集群长远发展蓝图，以顶层设计引领发展方向。这表明市场与政府同向发力，是提升产业能级与竞争力的有效实现路径。对中小企业而言，融入这一进程既是挑战，更是实现能级跃升的重要契机。</w:t>
      </w:r>
    </w:p>
    <w:p>
      <w:pPr>
        <w:spacing w:lineRule="exact" w:line="600" w:after="0"/>
        <w:ind w:firstLine="420"/>
      </w:pPr>
      <w:r>
        <w:rPr>
          <w:rFonts w:ascii="仿宋_GB2312" w:hAnsi="仿宋_GB2312" w:eastAsia="仿宋_GB2312"/>
          <w:b w:val="0"/>
          <w:sz w:val="32"/>
        </w:rPr>
        <w:t>优化链长制服务，健全“链主”企业遴选与闭环机制，聚焦用地、通关、融资等共性难题，提升涉企服务响应效率与企业获得感，营造一流的市场化、法治化、国际化营商环境，让企业专心致志谋发展、搞创新，使营商环境成为集群核心竞争力的重要组成部分。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培育区域公用品牌，整合“鲁匠”“斐普特”等企业品牌，统一“博兴金属板材”对外形象，借力展会与电商提升全国市场认知与溢价能力，做强集群名片与区域标识，以品牌之力提升产业整体价值，让区域公用品牌成为集群走向全国、走向世界的通行证。由此形成的良性循环，将为集群行稳致远提供坚实而持久的内在支撑。上述情况表明，相关环节仍有较大提升潜力与拓展空间，需持续发力加以巩固。</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滨州日报（聊城政府网转载）：滨州锚定千亿级目标 锻造产业跃升硬核实力（2025年规上板材企业171家、产值836.2亿元）http://www.liaocheng.gov.cn/channel_t_156_11235/doc_699fa92398c4890eebb2cde8.html</w:t>
      </w:r>
    </w:p>
    <w:p>
      <w:pPr>
        <w:spacing w:lineRule="exact" w:line="600" w:after="0"/>
        <w:ind w:firstLine="0"/>
      </w:pPr>
      <w:r>
        <w:rPr>
          <w:rFonts w:ascii="仿宋_GB2312" w:hAnsi="仿宋_GB2312" w:eastAsia="仿宋_GB2312"/>
          <w:b w:val="0"/>
          <w:sz w:val="32"/>
        </w:rPr>
        <w:t>2. 山东省发展和改革委员会：滨州锚定千亿级目标 锻造产业跃升硬核实力（生产线406条、设计年产能9400余万吨、从业人员近6万）http://fgw.shandong.gov.cn/art/2026/2/26/art_92360_10484134.html</w:t>
      </w:r>
    </w:p>
    <w:p>
      <w:pPr>
        <w:spacing w:lineRule="exact" w:line="600" w:after="0"/>
        <w:ind w:firstLine="0"/>
      </w:pPr>
      <w:r>
        <w:rPr>
          <w:rFonts w:ascii="仿宋_GB2312" w:hAnsi="仿宋_GB2312" w:eastAsia="仿宋_GB2312"/>
          <w:b w:val="0"/>
          <w:sz w:val="32"/>
        </w:rPr>
        <w:t>3. 山东省发展和改革委员会：从“百强榜单”看山东博兴民营经济发展新势能（率先实施链长制、千乘产业技术研究院）http://fgw.shandong.gov.cn/art/2024/8/7/art_347325_10442893.html</w:t>
      </w:r>
    </w:p>
    <w:p>
      <w:pPr>
        <w:spacing w:lineRule="exact" w:line="600" w:after="0"/>
        <w:ind w:firstLine="0"/>
      </w:pPr>
      <w:r>
        <w:rPr>
          <w:rFonts w:ascii="仿宋_GB2312" w:hAnsi="仿宋_GB2312" w:eastAsia="仿宋_GB2312"/>
          <w:b w:val="0"/>
          <w:sz w:val="32"/>
        </w:rPr>
        <w:t>4. 中国日报：山东省滨州市博兴县精益求精 推动传统制造业焕发新活力（店子镇200余家企业、年产能2000余万吨、产值300亿）https://cn.chinadaily.com.cn/a/202412/20/WS67652c96a310b59111daa06f.html</w:t>
      </w:r>
    </w:p>
    <w:p>
      <w:pPr>
        <w:spacing w:lineRule="exact" w:line="600" w:after="0"/>
        <w:ind w:firstLine="0"/>
      </w:pPr>
      <w:r>
        <w:rPr>
          <w:rFonts w:ascii="仿宋_GB2312" w:hAnsi="仿宋_GB2312" w:eastAsia="仿宋_GB2312"/>
          <w:b w:val="0"/>
          <w:sz w:val="32"/>
        </w:rPr>
        <w:t>5. 滨州日报：凝聚统战力量 赋能板材产业 全力打造新“千亿级规模”产业增长极（2023年获评省级特色产业集群）https://paper.bzrb.net/bzrb/20250808/html/content_20250808002005.htm</w:t>
      </w:r>
    </w:p>
    <w:p>
      <w:pPr>
        <w:spacing w:lineRule="exact" w:line="600" w:after="0"/>
        <w:ind w:firstLine="0"/>
      </w:pPr>
      <w:r>
        <w:rPr>
          <w:rFonts w:ascii="仿宋_GB2312" w:hAnsi="仿宋_GB2312" w:eastAsia="仿宋_GB2312"/>
          <w:b w:val="0"/>
          <w:sz w:val="32"/>
        </w:rPr>
        <w:t>6. 中国工业新闻网：优化产品结构 金属板材行业整体竞争力有待提升（2022年产值695.5亿元、占规上工业38.6%）https://www.cinn.cn/p/275929.html</w:t>
      </w:r>
    </w:p>
    <w:p>
      <w:pPr>
        <w:spacing w:lineRule="exact" w:line="600" w:after="0"/>
        <w:ind w:firstLine="0"/>
      </w:pPr>
      <w:r>
        <w:rPr>
          <w:rFonts w:ascii="仿宋_GB2312" w:hAnsi="仿宋_GB2312" w:eastAsia="仿宋_GB2312"/>
          <w:b w:val="0"/>
          <w:sz w:val="32"/>
        </w:rPr>
        <w:t>7. 博兴县工业和信息化局：《金属板材生产企业综合评级办法》及链长制政策文件（PDF）https://www.boxing.gov.cn/module/download/downfile.jsp?classid=0&amp;filename=99604b74a6504ced9d5b38e58c613514.pdf</w:t>
      </w:r>
    </w:p>
    <w:p>
      <w:pPr>
        <w:spacing w:lineRule="exact" w:line="600" w:after="0"/>
        <w:ind w:firstLine="0"/>
      </w:pPr>
      <w:r>
        <w:rPr>
          <w:rFonts w:ascii="仿宋_GB2312" w:hAnsi="仿宋_GB2312" w:eastAsia="仿宋_GB2312"/>
          <w:b w:val="0"/>
          <w:sz w:val="32"/>
        </w:rPr>
        <w:t>8. 滨州网：博兴金属板材产业加速迈向千亿级规模（十七条金政、产业链党建红盟）https://m.binzhouw.com/detail/528789</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