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寿光市特色原料药产业集群发展研究报告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寿光市特色原料药产业集群位于寿光市侯镇、羊口等省级化工园区，于2024年度入选山东省特色产业集群，是寿光市重点培育的战略性新兴产业与1511特色产业集群的重要组成部分。集群以化学原料药、医药中间体生产制造为基础，依托富康集团、新华制药等龙头企业，向制剂与研发两端延伸，构建从原材料到终端制剂的全产业链体系，是潍坊打造医药产业高地的重要支撑。</w:t>
      </w:r>
    </w:p>
    <w:p>
      <w:pPr>
        <w:spacing w:lineRule="exact" w:line="600" w:after="0"/>
        <w:ind w:firstLine="420"/>
      </w:pPr>
      <w:r>
        <w:rPr>
          <w:rFonts w:ascii="仿宋_GB2312" w:hAnsi="仿宋_GB2312" w:eastAsia="仿宋_GB2312"/>
          <w:b w:val="0"/>
          <w:sz w:val="32"/>
        </w:rPr>
        <w:t>寿光作为知名蔬菜之乡，工业上则以高端化工与生物医药见长。2024年寿光实现地区生产总值平稳增长、预计增6%，完成一般公共预算收入101.8亿元；特色原料药产业集群入选省特色产业集群，与生物基新材料集群共同构成寿光省级特色集群板块。集群以链长制为抓手，推动产业向高科技型、向制剂生产两个转变，发展路径清晰。</w:t>
      </w:r>
    </w:p>
    <w:p>
      <w:pPr>
        <w:spacing w:lineRule="exact" w:line="600" w:after="0"/>
        <w:ind w:firstLine="420"/>
      </w:pPr>
      <w:r>
        <w:rPr>
          <w:rFonts w:ascii="仿宋_GB2312" w:hAnsi="仿宋_GB2312" w:eastAsia="仿宋_GB2312"/>
          <w:b w:val="0"/>
          <w:sz w:val="32"/>
        </w:rPr>
        <w:t>从产业属性看，该集群属技术密集、监管严格的医药制造型集群，兼具大宗原料药规模优势与特色原料药专精特征。富康、新华制药等链主企业在解热镇痛、降糖、消化等细分领域形成全球或全国领先地位，集群呈现出龙头引领、链式集聚、园区承载的鲜明格局，是山东省原料药产业的重要一极，区域辨识度高。寿光由此成为潍坊北部重要的原料药生产基地。</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在寿光工业中占有重要分量。2024年羊口镇实现规上企业工业营收849.6亿元，再次上榜全国综合竞争力百强镇；博康制药（富康子公司）新上2万吨二甲双胍原料药项目，投产后富康集团二甲双胍总产能将达4万吨，占据全球一半以上市场份额，单体规模居全球前列，对集群规模形成强力支撑。羊口化工产业园是集群核心承载空间。</w:t>
      </w:r>
    </w:p>
    <w:p>
      <w:pPr>
        <w:spacing w:lineRule="exact" w:line="600" w:after="0"/>
        <w:ind w:firstLine="420"/>
      </w:pPr>
      <w:r>
        <w:rPr>
          <w:rFonts w:ascii="仿宋_GB2312" w:hAnsi="仿宋_GB2312" w:eastAsia="仿宋_GB2312"/>
          <w:b w:val="0"/>
          <w:sz w:val="32"/>
        </w:rPr>
        <w:t>龙头企业营收体量大。富康集团2023年完成销售收入65亿元，产品畅销80多个国家和地区，年出口创汇1亿多美元；新华制药（寿光）有限公司2024年实现营业收入约10.37亿元、利润总额3798万元，占地1267亩，是亚洲主要的解热镇痛类药物生产出口基地。两家链主共同支撑集群规模基本盘，贡献突出。羊口化工产业园是集群核心承载空间。</w:t>
      </w:r>
    </w:p>
    <w:p>
      <w:pPr>
        <w:spacing w:lineRule="exact" w:line="600" w:after="0"/>
        <w:ind w:firstLine="420"/>
      </w:pPr>
      <w:r>
        <w:rPr>
          <w:rFonts w:ascii="仿宋_GB2312" w:hAnsi="仿宋_GB2312" w:eastAsia="仿宋_GB2312"/>
          <w:b w:val="0"/>
          <w:sz w:val="32"/>
        </w:rPr>
        <w:t>从企业群体看，集群内各类企业达104家，其中规上企业28家、高新技术企业11家、省级及以上专精特新中小企业6家、国家级专精特新小巨人2家、创新型中小企业8家，拥有省级以上创新平台19个。企业基数厚实、梯度清晰，2024年特色原料药集群入选省特色产业集群，标志着集群化水平获得省级认可。羊口化工产业园是集群核心承载空间。</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特色化学原料药为核心，覆盖解热镇痛、降糖、消化、抗感染等系列。新华制药形成五安、咖啡因、布洛芬、阿司匹林、多巴、巴比妥、吡哌酸等七大原料药产品系列，23个原料药在美国FDA注册、14个获EDQM的CEP证书；富康主导盐酸二甲双胍、甲氧苄啶、奥美拉唑等品种，产销量居全球第一，特色鲜明。三条主线共同构成集群的清晰产品矩阵。</w:t>
      </w:r>
    </w:p>
    <w:p>
      <w:pPr>
        <w:spacing w:lineRule="exact" w:line="600" w:after="0"/>
        <w:ind w:firstLine="420"/>
      </w:pPr>
      <w:r>
        <w:rPr>
          <w:rFonts w:ascii="仿宋_GB2312" w:hAnsi="仿宋_GB2312" w:eastAsia="仿宋_GB2312"/>
          <w:b w:val="0"/>
          <w:sz w:val="32"/>
        </w:rPr>
        <w:t>在产业链延伸上，集群由原料药向医药中间体、制剂两端拓展。富康建成全球唯一一条二甲双胍全产业链，并架构盐酸二甲双胍、奥美拉唑、复方新诺明、氯氮平、间苯三酚注射液5条全产业链；新华制药新上4个过亿元产业链项目，一期特色原料药、二期甾体原料药已投产，三期甲基多巴加速推进，剑指江北最大特色原料药基地。三条主线共同构成集群的清晰产品矩阵。</w:t>
      </w:r>
    </w:p>
    <w:p>
      <w:pPr>
        <w:spacing w:lineRule="exact" w:line="600" w:after="0"/>
        <w:ind w:firstLine="420"/>
      </w:pPr>
      <w:r>
        <w:rPr>
          <w:rFonts w:ascii="仿宋_GB2312" w:hAnsi="仿宋_GB2312" w:eastAsia="仿宋_GB2312"/>
          <w:b w:val="0"/>
          <w:sz w:val="32"/>
        </w:rPr>
        <w:t>配套与支撑产业同步壮大。天力药业2.5万吨结晶山梨醇项目打破法国罗盖特垄断；博苑股份在深交所创业板上市，成为全省唯一创业板新上市企业。集群围绕原料药、中间体、制剂主线，辅以药用辅料、包装与医药物流，主导产业生态日趋完整，特色化、专业化水平持续提升，配套能力增强。三条主线共同构成集群的清晰产品矩阵。特色原料药优势为下游制剂提供落地底座。</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已构建基础化工原料、医药中间体、化学原料药、制剂相对完整的产业链。上游依托寿光化工与海洋化工基础获取双氰胺、溴素等关键原料；中游由富康、新华制药等完成原料药合成；下游延伸至片剂、注射剂等制剂，形成从一块石头到一粒药片的全产业链实践，链条闭合度较高，协同效应显现。本地配套率的提升增强了链条整体韧性。上下游分工明确、协同渐强。</w:t>
      </w:r>
    </w:p>
    <w:p>
      <w:pPr>
        <w:spacing w:lineRule="exact" w:line="600" w:after="0"/>
        <w:ind w:firstLine="420"/>
      </w:pPr>
      <w:r>
        <w:rPr>
          <w:rFonts w:ascii="仿宋_GB2312" w:hAnsi="仿宋_GB2312" w:eastAsia="仿宋_GB2312"/>
          <w:b w:val="0"/>
          <w:sz w:val="32"/>
        </w:rPr>
        <w:t>链主企业纵向一体化程度高。富康从上游双氰胺基地到下游二甲双胍片剂批文，构建全球唯一二甲双胍全产业链；新华制药建立由精细化工原料到原料药的产业链，主要医药中间体均自我配套，有利成本控制与供应保障。中小企业围绕链主从事中间体、辅料与包装配套，分工协作网络初步成形，配套体系较完整。本地配套率的提升增强了链条整体韧性。</w:t>
      </w:r>
    </w:p>
    <w:p>
      <w:pPr>
        <w:spacing w:lineRule="exact" w:line="600" w:after="0"/>
        <w:ind w:firstLine="420"/>
      </w:pPr>
      <w:r>
        <w:rPr>
          <w:rFonts w:ascii="仿宋_GB2312" w:hAnsi="仿宋_GB2312" w:eastAsia="仿宋_GB2312"/>
          <w:b w:val="0"/>
          <w:sz w:val="32"/>
        </w:rPr>
        <w:t>总体看，集群在特色原料药环节优势突出，中间体与制剂配套能力增强，但高端制剂、创新药与CXO服务等下游高附加值环节仍偏弱。部分企业仍侧重单一产品，产业结构曾一度规模大、竞争力弱。需沿链长制四张图谱持续补链，提升全产业链协同与价值捕获能力，优化整体结构。本地配套率的提升增强了链条整体韧性。上下游分工明确、协同渐强。</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短板首要是创新药与高端制剂占比偏低。多数企业以大宗或特色原料药为主，原创小分子、复杂制剂、生物药布局有限，产品多处于价值链中上游。相较于国际巨头，集群在首仿、难仿与缓控释等高端制剂领域的技术储备与产能仍显不足，需加快向价值链高端攀升，补齐短板。高端制剂环节偏弱制约价值向上迁移。关键催化剂外采抬高了供应链潜在风险。</w:t>
      </w:r>
    </w:p>
    <w:p>
      <w:pPr>
        <w:spacing w:lineRule="exact" w:line="600" w:after="0"/>
        <w:ind w:firstLine="420"/>
      </w:pPr>
      <w:r>
        <w:rPr>
          <w:rFonts w:ascii="仿宋_GB2312" w:hAnsi="仿宋_GB2312" w:eastAsia="仿宋_GB2312"/>
          <w:b w:val="0"/>
          <w:sz w:val="32"/>
        </w:rPr>
        <w:t>其次，部分关键中间体与高端辅料对外依赖。尽管富康、新华制药中间体自我配套率较高，但部分高纯试剂、特殊辅料与包材仍依赖外部采购；环保与安全生产约束下，绿色工艺与连续制造能力有待提升。园区一体化和退城进园虽缓解空间约束，但公用工程与危废处置能力仍需增强，供给韧性待提升。高端制剂环节偏弱制约价值向上迁移。关键催化剂外采抬高了供应链潜在风险。</w:t>
      </w:r>
    </w:p>
    <w:p>
      <w:pPr>
        <w:spacing w:lineRule="exact" w:line="600" w:after="0"/>
        <w:ind w:firstLine="420"/>
      </w:pPr>
      <w:r>
        <w:rPr>
          <w:rFonts w:ascii="仿宋_GB2312" w:hAnsi="仿宋_GB2312" w:eastAsia="仿宋_GB2312"/>
          <w:b w:val="0"/>
          <w:sz w:val="32"/>
        </w:rPr>
        <w:t>再次，企业各自为战现象仍存。寿光工信部门坦言，部分企业侧重原材料供应或单一产品打天下，产业协同深度不够，知识溢出有限。应强化链主对配套企业的技术辐射与订单牵引，完善联合攻关与标准共定机制，避免低水平重复，提升产业链整体网络效率与协同创新水平。高端制剂环节偏弱制约价值向上迁移。关键催化剂外采抬高了供应链潜在风险。</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全球价值链看，集群在特色原料药制造环节具备较强位势。富康二甲双胍、甲氧苄啶、奥美拉唑产销量全球第一，氯氮平、新诺明、FB2C全国第一，在全球供应链中占据关键节点；新华制药为国内医药出口五强，与拜耳、罗氏等200多家跨国企业长期合作，节点控制力较强，国际影响力逐步扩大。节点控制力来自链主的关键品种优势。</w:t>
      </w:r>
    </w:p>
    <w:p>
      <w:pPr>
        <w:spacing w:lineRule="exact" w:line="600" w:after="0"/>
        <w:ind w:firstLine="420"/>
      </w:pPr>
      <w:r>
        <w:rPr>
          <w:rFonts w:ascii="仿宋_GB2312" w:hAnsi="仿宋_GB2312" w:eastAsia="仿宋_GB2312"/>
          <w:b w:val="0"/>
          <w:sz w:val="32"/>
        </w:rPr>
        <w:t>在价值分配上，大宗原料药环节竞争激烈、毛利承压，而特色原料药与制剂环节附加值更高。集群正通过原料药、制剂一体化向高附加值端迁移，富康自建片剂批文、新华制药发展制剂国际化，提升在全球价值链中的位势与议价能力，但整体仍处由制造向创造过渡阶段，升级任务较重。节点控制力来自链主的关键品种优势。向研发与制剂两端延伸是必然选择。</w:t>
      </w:r>
    </w:p>
    <w:p>
      <w:pPr>
        <w:spacing w:lineRule="exact" w:line="600" w:after="0"/>
        <w:ind w:firstLine="420"/>
      </w:pPr>
      <w:r>
        <w:rPr>
          <w:rFonts w:ascii="仿宋_GB2312" w:hAnsi="仿宋_GB2312" w:eastAsia="仿宋_GB2312"/>
          <w:b w:val="0"/>
          <w:sz w:val="32"/>
        </w:rPr>
        <w:t>需关注国际合规与价格博弈对价值实现的影响。欧美FDA、CEP等认证是进入高端市场的通行证，集群已有23个FDA注册与14个CEP证书，但新兴市场风险与原料价格波动可能侵蚀利润。应巩固质量体系与合规能力，向技术、品牌、注册综合优势升级，稳固价值链位置与长期获利能力。节点控制力来自链主的关键品种优势。向研发与制剂两端延伸是必然选择。</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形成以侯镇、羊口化工园为核心承载，高新区科创园为创新孵化的空间分工。寿光设立羊口化工产业园引导原料药企业退城进园，优化区域布局释放先进产能；高新区科创园一期完工、二期建多层标准车间，围绕生物基新材料与生物医药下游招商，恒邦中科、索理德等10个项目入驻，功能分工清晰。区域协同有效避免了同质化内耗。专精特新企业充实了分工协作梯队。</w:t>
      </w:r>
    </w:p>
    <w:p>
      <w:pPr>
        <w:spacing w:lineRule="exact" w:line="600" w:after="0"/>
        <w:ind w:firstLine="420"/>
      </w:pPr>
      <w:r>
        <w:rPr>
          <w:rFonts w:ascii="仿宋_GB2312" w:hAnsi="仿宋_GB2312" w:eastAsia="仿宋_GB2312"/>
          <w:b w:val="0"/>
          <w:sz w:val="32"/>
        </w:rPr>
        <w:t>企业间分工呈链主加配套特征。富康、新华制药统筹原料药与关键中间体，中小企业聚焦专用中间体、辅料、包装与环保处理等环节；博苑股份提供电子化学品与功能材料，天力药业提供山梨醇等药用载体。分工体系使集群兼具规模制造与专业配套能力，但中小企业层级与配套深度仍待提升。区域协同有效避免了同质化内耗。专精特新企业充实了分工协作梯队。</w:t>
      </w:r>
    </w:p>
    <w:p>
      <w:pPr>
        <w:spacing w:lineRule="exact" w:line="600" w:after="0"/>
        <w:ind w:firstLine="420"/>
      </w:pPr>
      <w:r>
        <w:rPr>
          <w:rFonts w:ascii="仿宋_GB2312" w:hAnsi="仿宋_GB2312" w:eastAsia="仿宋_GB2312"/>
          <w:b w:val="0"/>
          <w:sz w:val="32"/>
        </w:rPr>
        <w:t>从市域看，寿光原料药与潍坊高新区元宇宙、动力装备等集群错位发展，共同构成潍坊351N现代化产业体系中的生物医药板块。寿光立足原料药制造优势，与淄博、菏泽等医药集群形成省内协同，避免了同质内耗，提升了山东医药产业链的整体配套效率与区域竞争力。区域协同有效避免了同质化内耗。专精特新企业充实了分工协作梯队。园区定位强化了功能互补。</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呈龙头引领、中小企业集聚结构。富康集团2023年销售收入65亿元、新华制药（寿光）约10.37亿元，是规模与出口支柱；中游有天力药业、博苑股份等骨干，下游聚集一批中间体、辅料与制剂配套企业。104家集群企业中规上28家，金字塔结构清晰但腰部企业有待壮大，梯队仍需优化。金字塔结构利于大中小企业融通。</w:t>
      </w:r>
    </w:p>
    <w:p>
      <w:pPr>
        <w:spacing w:lineRule="exact" w:line="600" w:after="0"/>
        <w:ind w:firstLine="420"/>
      </w:pPr>
      <w:r>
        <w:rPr>
          <w:rFonts w:ascii="仿宋_GB2312" w:hAnsi="仿宋_GB2312" w:eastAsia="仿宋_GB2312"/>
          <w:b w:val="0"/>
          <w:sz w:val="32"/>
        </w:rPr>
        <w:t>从创新资质看，集群拥有高新技术企业11家、省级及以上专精特新6家、国家级小巨人2家、创新型中小企业8家，优质企业基数扎实。2024年寿光新增国家级制造业单项冠军和专精特新小巨人3家、省级优质企业98家，博苑股份成为全省唯一创业板新上市企业，企业成长梯队持续完善，活力增强。金字塔结构利于大中小企业融通。企业基数雄厚但腰部层尚待壮大。</w:t>
      </w:r>
    </w:p>
    <w:p>
      <w:pPr>
        <w:spacing w:lineRule="exact" w:line="600" w:after="0"/>
        <w:ind w:firstLine="420"/>
      </w:pPr>
      <w:r>
        <w:rPr>
          <w:rFonts w:ascii="仿宋_GB2312" w:hAnsi="仿宋_GB2312" w:eastAsia="仿宋_GB2312"/>
          <w:b w:val="0"/>
          <w:sz w:val="32"/>
        </w:rPr>
        <w:t>需关注规模断层。除富康、新华制药等链主外，多数配套企业营收偏小，年营收过亿元的专精企业不多。寿光实施企业小升规与梯度培育工程，年内新增优质企业70家以上，正是为补强腰部。中小企业在集群中的成长空间广阔，梯队培育是提升整体竞争力的关键抓手，需持续推进。金字塔结构利于大中小企业融通。企业基数雄厚但腰部层尚待壮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以民营与国有混合所有制为主体。富康集团为民营大型医药企业，下辖九大子公司；新华制药（寿光）为山东新华制药股份全资子公司，属国有控股；博苑股份为民营上市企业。国有与民营资本在原料药与制剂环节各有侧重，形成政府引导、市场主导的多元产权格局，治理机制较为灵活。多元产权适配原料药重资产特征。上市资本为扩张提供关键杠杆。</w:t>
      </w:r>
    </w:p>
    <w:p>
      <w:pPr>
        <w:spacing w:lineRule="exact" w:line="600" w:after="0"/>
        <w:ind w:firstLine="420"/>
      </w:pPr>
      <w:r>
        <w:rPr>
          <w:rFonts w:ascii="仿宋_GB2312" w:hAnsi="仿宋_GB2312" w:eastAsia="仿宋_GB2312"/>
          <w:b w:val="0"/>
          <w:sz w:val="32"/>
        </w:rPr>
        <w:t>资本来源以内生积累与股权融资为主。富康、新华制药依靠经营积累滚动扩产；博苑股份通过IPO募资做强；寿光通过百项技改、百企转型与重点项目导向目录引导信贷与基金投入。2024年寿光推进总投资682.5亿元的114个过亿元项目，多渠道资本支撑企业扩张与技术改造，资本供给充裕。多元产权适配原料药重资产特征。上市资本为扩张提供关键杠杆。</w:t>
      </w:r>
    </w:p>
    <w:p>
      <w:pPr>
        <w:spacing w:lineRule="exact" w:line="600" w:after="0"/>
        <w:ind w:firstLine="420"/>
      </w:pPr>
      <w:r>
        <w:rPr>
          <w:rFonts w:ascii="仿宋_GB2312" w:hAnsi="仿宋_GB2312" w:eastAsia="仿宋_GB2312"/>
          <w:b w:val="0"/>
          <w:sz w:val="32"/>
        </w:rPr>
        <w:t>产学研与混合所有制合作丰富产权形态。富康与上海医药集团组建上药信谊富康药物研究院，新华制药依托母公司技术体系，形成企业出题、院校答题的协同安排。总体看，集群产权以民营活力为主、国资平台为辅，适配医药产业高投入、强监管、长周期特征，治理较为稳健。多元产权适配原料药重资产特征。上市资本为扩张提供关键杠杆。产学研产权安排激发协同创新。</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富康集团是集群无可争议的头部企业，创建于1993年，下辖富康制药、永康化学、瑞康精化、博康制药等九大子公司，2023年销售收入65亿元。其盐酸二甲双胍、甲氧苄啶、奥美拉唑产销量全球第一，新诺明、氯氮平、FB2C全国第一，建立全球唯一二甲双胍全产业链，跻身中国医药工业百强，龙头地位稳固。富康集团的全球份额构成强品牌背书。</w:t>
      </w:r>
    </w:p>
    <w:p>
      <w:pPr>
        <w:spacing w:lineRule="exact" w:line="600" w:after="0"/>
        <w:ind w:firstLine="420"/>
      </w:pPr>
      <w:r>
        <w:rPr>
          <w:rFonts w:ascii="仿宋_GB2312" w:hAnsi="仿宋_GB2312" w:eastAsia="仿宋_GB2312"/>
          <w:b w:val="0"/>
          <w:sz w:val="32"/>
        </w:rPr>
        <w:t>新华制药（寿光）有限公司是另一核心链主，为山东新华制药股份2006年全资筹建的大型企业，占地1267亩，2024年营收约10.37亿元。公司是亚洲主要解热镇痛类药物生产出口基地，形成七大原料药系列，23个原料药获美国FDA注册、14个获CEP证书，国际化优势突出，与拜耳等深度合作。富康集团的全球份额构成强品牌背书。</w:t>
      </w:r>
    </w:p>
    <w:p>
      <w:pPr>
        <w:spacing w:lineRule="exact" w:line="600" w:after="0"/>
        <w:ind w:firstLine="420"/>
      </w:pPr>
      <w:r>
        <w:rPr>
          <w:rFonts w:ascii="仿宋_GB2312" w:hAnsi="仿宋_GB2312" w:eastAsia="仿宋_GB2312"/>
          <w:b w:val="0"/>
          <w:sz w:val="32"/>
        </w:rPr>
        <w:t>在细分领域，天力药业以结晶山梨醇打破国外垄断，博苑股份成为创业板新秀，博康制药承担二甲双胍原料药扩产。这些企业虽规模不及两大链主，但在特色品种与关键材料上各具优势，是集群生态多样性的重要来源，未来有望成长为新的单项冠军与专精特新小巨人，壮大头部后备。富康集团的全球份额构成强品牌背书。骨干企业在关键品种上协同支撑。</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呈现园区集聚、链条协同特征。企业主要集中于侯镇、羊口省级化工园与高新区科创园，空间毗邻降低配套与物流成本。以富康、新华制药为圆心，上下游企业在园区内完成供配，形成类似原料药产业的紧凑集聚形态，环保与安全管理也因园区化而更可控，集群治理效率提升。空间毗邻显著降低配套协作成本。人才平台资本高密度汇聚成创新土壤。</w:t>
      </w:r>
    </w:p>
    <w:p>
      <w:pPr>
        <w:spacing w:lineRule="exact" w:line="600" w:after="0"/>
        <w:ind w:firstLine="420"/>
      </w:pPr>
      <w:r>
        <w:rPr>
          <w:rFonts w:ascii="仿宋_GB2312" w:hAnsi="仿宋_GB2312" w:eastAsia="仿宋_GB2312"/>
          <w:b w:val="0"/>
          <w:sz w:val="32"/>
        </w:rPr>
        <w:t>集聚伴随创新要素导入。寿光依托重点生物医药企业实施链长制，逐一梳理供应链、关键技术、市场拓展、区域分布四张图谱；高新区科创园集聚恒邦中科、索理德等10个入驻项目，总投资22亿元。人才、平台、资本在园区高密度汇聚，使集群具备自我繁衍与协同创新的能力，创新浓度上升。空间毗邻显著降低配套协作成本。人才平台资本高密度汇聚成创新土壤。</w:t>
      </w:r>
    </w:p>
    <w:p>
      <w:pPr>
        <w:spacing w:lineRule="exact" w:line="600" w:after="0"/>
        <w:ind w:firstLine="420"/>
      </w:pPr>
      <w:r>
        <w:rPr>
          <w:rFonts w:ascii="仿宋_GB2312" w:hAnsi="仿宋_GB2312" w:eastAsia="仿宋_GB2312"/>
          <w:b w:val="0"/>
          <w:sz w:val="32"/>
        </w:rPr>
        <w:t>从动态看，集聚正由原料药制造向原料药、制剂、研发拓展。富康、新华制药向上游原料与下游制剂两端延伸，科创园引入研发与新材料项目，推动生产型集聚转向生态型集聚。但企业间知识溢出与联合攻关仍不足，需在治理层面加强分工引导，避免同质竞争，提升集聚质量。空间毗邻显著降低配套协作成本。人才平台资本高密度汇聚成创新土壤。</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强度在寿光工业中居前。富康集团近三年平均研发投入占销售收入4.15%，仅去年投入研发经费就达8300多万元；新华制药作为高新技术企业持续高投入，在美洛昔康、曲马多等新产品关键技术取得突破。龙头企业研发意愿强，带动集群整体创新投入水平提升，投入意愿旺盛。政策与基金有效撬动企业研发投入。研发资源向优势品种倾斜较为明显。</w:t>
      </w:r>
    </w:p>
    <w:p>
      <w:pPr>
        <w:spacing w:lineRule="exact" w:line="600" w:after="0"/>
        <w:ind w:firstLine="420"/>
      </w:pPr>
      <w:r>
        <w:rPr>
          <w:rFonts w:ascii="仿宋_GB2312" w:hAnsi="仿宋_GB2312" w:eastAsia="仿宋_GB2312"/>
          <w:b w:val="0"/>
          <w:sz w:val="32"/>
        </w:rPr>
        <w:t>政策层面，寿光实施新兴产业扩增量行动，围绕新材料、生物医药等新赛道强链补链；37个项目列入2024年省第一批技术创新项目，涉及医药、高端化工等行业，均以突破产业前沿和产业链关键环节技术瓶颈为重点。百项技改、百企转型行动引导企业技改投入，有效撬动研发，政策杠杆明显。政策与基金有效撬动企业研发投入。研发资源向优势品种倾斜较为明显。</w:t>
      </w:r>
    </w:p>
    <w:p>
      <w:pPr>
        <w:spacing w:lineRule="exact" w:line="600" w:after="0"/>
        <w:ind w:firstLine="420"/>
      </w:pPr>
      <w:r>
        <w:rPr>
          <w:rFonts w:ascii="仿宋_GB2312" w:hAnsi="仿宋_GB2312" w:eastAsia="仿宋_GB2312"/>
          <w:b w:val="0"/>
          <w:sz w:val="32"/>
        </w:rPr>
        <w:t>需关注中小企业研发投入能力有限，基础研究主要由链主与高校承担。集群研发资源向特色原料药倾斜，创新药与高端制剂投入相对不足。应完善企业为主体、市场为导向、产学研深度融合的投入机制，引导中小企业在细分技术点形成差异化研发优势，提升整体创新效率与内生动力。政策与基金有效撬动企业研发投入。研发资源向优势品种倾斜较为明显。</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特色原料药新工艺与高端制剂为主。富康奥美拉唑系列产品产业化与国际化关键技术开发获国家科技进步二等奖，使国产奥美拉唑价格下降约90%；微丸包衣等技术打破国外壁垒。新华制药在阿司匹林、布洛芬等传统产品新工艺广泛应用，新产品关键技术取得突破，产出质量较高。高价值专利集中于特色原料药领域。平台能级随企业技术中心入选而提升。</w:t>
      </w:r>
    </w:p>
    <w:p>
      <w:pPr>
        <w:spacing w:lineRule="exact" w:line="600" w:after="0"/>
        <w:ind w:firstLine="420"/>
      </w:pPr>
      <w:r>
        <w:rPr>
          <w:rFonts w:ascii="仿宋_GB2312" w:hAnsi="仿宋_GB2312" w:eastAsia="仿宋_GB2312"/>
          <w:b w:val="0"/>
          <w:sz w:val="32"/>
        </w:rPr>
        <w:t>在平台与标准方面，富康设有国家级企业技术中心、博士后科研工作站等7个省级以上科研创新平台，承担国家级课题10项、省级30项，获省部级以上奖励10项。新华制药拥有符合cGMP的质量体系，多产品通过新版GMP，23个原料药FDA注册、14个CEP证书，创新产出具国际认可度，标准话语权增强。高价值专利集中于特色原料药领域。</w:t>
      </w:r>
    </w:p>
    <w:p>
      <w:pPr>
        <w:spacing w:lineRule="exact" w:line="600" w:after="0"/>
        <w:ind w:firstLine="420"/>
      </w:pPr>
      <w:r>
        <w:rPr>
          <w:rFonts w:ascii="仿宋_GB2312" w:hAnsi="仿宋_GB2312" w:eastAsia="仿宋_GB2312"/>
          <w:b w:val="0"/>
          <w:sz w:val="32"/>
        </w:rPr>
        <w:t>创新产出结构仍偏原料药工艺。创新药、复杂制剂与生物药成果偏少，原始创新不足。面向高端制剂与绿色制造，需加强跨领域集成创新，推动工艺专利向产品、产品向标准跃升，提升创新产出的经济转化效率与集群品牌影响力，补齐价值链高端短板，优化产出结构。高价值专利集中于特色原料药领域。平台能级随企业技术中心入选而提升。制剂短板需跨领域集成补齐。</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拥有多层次创新平台。企业层面有富康国家级企业技术中心、博士后科研工作站，新华制药依托母公司国家级技术中心；产学研层面有上药信谊富康（山东）药物研究院，聚焦新型血糖制剂、消化系统靶向药物等高端产品。平台覆盖基础到中试全链条，创新基础扎实，体系化支撑较强。平台覆盖全链条创新关键环节。校企平台补强人才与技术。</w:t>
      </w:r>
    </w:p>
    <w:p>
      <w:pPr>
        <w:spacing w:lineRule="exact" w:line="600" w:after="0"/>
        <w:ind w:firstLine="420"/>
      </w:pPr>
      <w:r>
        <w:rPr>
          <w:rFonts w:ascii="仿宋_GB2312" w:hAnsi="仿宋_GB2312" w:eastAsia="仿宋_GB2312"/>
          <w:b w:val="0"/>
          <w:sz w:val="32"/>
        </w:rPr>
        <w:t>园区平台持续补强。高新区科创园围绕生物医药下游招商，提供孵化与中试空间；寿光拥有省级以上一企一技术研发平台、工业设计中心45家，推动产学研融合。但面向中小配套企业的公共中试、检测与注册服务平台仍不足，部分平台服务中小企业的覆盖面有限，资源共享水平有待提高。平台覆盖全链条创新关键环节。校企平台补强人才与技术。</w:t>
      </w:r>
    </w:p>
    <w:p>
      <w:pPr>
        <w:spacing w:lineRule="exact" w:line="600" w:after="0"/>
        <w:ind w:firstLine="420"/>
      </w:pPr>
      <w:r>
        <w:rPr>
          <w:rFonts w:ascii="仿宋_GB2312" w:hAnsi="仿宋_GB2312" w:eastAsia="仿宋_GB2312"/>
          <w:b w:val="0"/>
          <w:sz w:val="32"/>
        </w:rPr>
        <w:t>平台协同存在条块分割。链主与高校院所平台间数据共享、设备共用机制不够顺畅。应推动组建原料药产业创新联合体，建立大型仪器开放共享与中试熟化平台，提升平台对中小配套企业的可及性，强化平台对集群创新的杠杆作用，避免重复建设与资源孤岛，提升协同效率。平台覆盖全链条创新关键环节。校企平台补强人才与技术。共享机制不畅限制平台可及性。</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推进。富康将微丸包衣、缓释控释技术转化为高端血糖制剂与片剂量产；新华制药将七大系列工艺转化为规模化出口能力；上药信谊富康研究院推动新型血糖制剂落地。链主产线为硬件技术转化提供顺畅通道，转化效率较高，产业化的周期相对可控。中试体系加速成果迭代验证。人才输送缓解转化瓶颈。首购机制可畅通转化最后一公里。</w:t>
      </w:r>
    </w:p>
    <w:p>
      <w:pPr>
        <w:spacing w:lineRule="exact" w:line="600" w:after="0"/>
        <w:ind w:firstLine="420"/>
      </w:pPr>
      <w:r>
        <w:rPr>
          <w:rFonts w:ascii="仿宋_GB2312" w:hAnsi="仿宋_GB2312" w:eastAsia="仿宋_GB2312"/>
          <w:b w:val="0"/>
          <w:sz w:val="32"/>
        </w:rPr>
        <w:t>场景与政策助力转化。寿光以链长制梳理四张图谱，引导项目退城进园释放产能；百项技改推动新工艺产业化。但中小配套企业缺乏中试与首购市场，软件与高端制剂因标准、采购谨慎转化慢。应建立首台套、首版次保险补偿与政府采购首购，支持本土方案先行先试，畅通转化通道。中试体系加速成果迭代验证。人才输送缓解转化瓶颈。首购机制可畅通转化最后一公里。</w:t>
      </w:r>
    </w:p>
    <w:p>
      <w:pPr>
        <w:spacing w:lineRule="exact" w:line="600" w:after="0"/>
        <w:ind w:firstLine="420"/>
      </w:pPr>
      <w:r>
        <w:rPr>
          <w:rFonts w:ascii="仿宋_GB2312" w:hAnsi="仿宋_GB2312" w:eastAsia="仿宋_GB2312"/>
          <w:b w:val="0"/>
          <w:sz w:val="32"/>
        </w:rPr>
        <w:t>转化堵点在于注册与合规周期。原料药、制剂需经FDA、CEP、GMP等严格审批，周期长、门槛高。集群应建设注册与合规公共服务，帮助企业缩短获批时间；同时以产业链协同降低配套成本，畅通从实验室到产线、从产线到国际市场的转化闭环，提升转化效率与成功率。中试体系加速成果迭代验证。人才输送缓解转化瓶颈。首购机制可畅通转化最后一公里。</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化工、药学专业技术人才为主。寿光职业教育与产业结合紧密，本地院校与龙头企业联合培养药物合成、制剂、质量管理等人才；富康、新华制药引进大批研发与国际化人才。但高端制剂研发、复杂工艺工程等顶尖人才仍紧缺，需依托外部引进与校地合作弥补，人才结构待优化。职教基础保障人才池持续充盈。顶尖复合人才仍依赖外部引进。</w:t>
      </w:r>
    </w:p>
    <w:p>
      <w:pPr>
        <w:spacing w:lineRule="exact" w:line="600" w:after="0"/>
        <w:ind w:firstLine="420"/>
      </w:pPr>
      <w:r>
        <w:rPr>
          <w:rFonts w:ascii="仿宋_GB2312" w:hAnsi="仿宋_GB2312" w:eastAsia="仿宋_GB2312"/>
          <w:b w:val="0"/>
          <w:sz w:val="32"/>
        </w:rPr>
        <w:t>劳动力成本总体可控。相比一线城市和长三角，寿光人力成本具备优势，利于原料药制造保持竞争力；但研发与合规岗位薪资向行业高位靠拢，企业用工成本上升。应完善人才安居与股权激励，平衡成本与吸引力，防止核心人才外流，稳固集群人力资本基本盘与长期竞争力，保障队伍稳定。职教基础保障人才池持续充盈。顶尖复合人才仍依赖外部引进。</w:t>
      </w:r>
    </w:p>
    <w:p>
      <w:pPr>
        <w:spacing w:lineRule="exact" w:line="600" w:after="0"/>
        <w:ind w:firstLine="420"/>
      </w:pPr>
      <w:r>
        <w:rPr>
          <w:rFonts w:ascii="仿宋_GB2312" w:hAnsi="仿宋_GB2312" w:eastAsia="仿宋_GB2312"/>
          <w:b w:val="0"/>
          <w:sz w:val="32"/>
        </w:rPr>
        <w:t>需关注化工行业用工的结构性矛盾。一线操作工供给稳定但高技能技工不足，研发岗竞争激烈。应完善职业技能进阶与安全教育培训体系，增强就业韧性；以产业集群引力留住青年人才，缓解人才外流，实现更充分更高质量的就业效应与人才留存，夯实人力基础。职教基础保障人才池持续充盈。顶尖复合人才仍依赖外部引进。成本优势需与留住人才相平衡。</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多元。富康、新华制药以内生积累与银行信贷支撑扩产；博苑股份通过创业板IPO募资；寿光以重点项目导向目录与百项技改引导信贷、基金投入，2024年推进总投资682.5亿元的114个过亿元项目。资本对特色原料药前景信心较强，资金活水持续注入，供给较为充裕。多元资本提振产业投资信心。中小配套企业融资约束仍突出。</w:t>
      </w:r>
    </w:p>
    <w:p>
      <w:pPr>
        <w:spacing w:lineRule="exact" w:line="600" w:after="0"/>
        <w:ind w:firstLine="420"/>
      </w:pPr>
      <w:r>
        <w:rPr>
          <w:rFonts w:ascii="仿宋_GB2312" w:hAnsi="仿宋_GB2312" w:eastAsia="仿宋_GB2312"/>
          <w:b w:val="0"/>
          <w:sz w:val="32"/>
        </w:rPr>
        <w:t>直接融资与信贷同步发力。龙头企业凭借现金流与信用获取低成本资金；对优质中小企业的专精特新培育与上市扶持（如博苑股份IPO）拓宽融资渠道。但中小配套企业仍面临轻资产、难抵押约束，绿色工艺改造资金需求大，需加快发展知识产权质押与产业基金扶持，缓解融资难。多元资本提振产业投资信心。中小配套企业融资约束仍突出。</w:t>
      </w:r>
    </w:p>
    <w:p>
      <w:pPr>
        <w:spacing w:lineRule="exact" w:line="600" w:after="0"/>
        <w:ind w:firstLine="420"/>
      </w:pPr>
      <w:r>
        <w:rPr>
          <w:rFonts w:ascii="仿宋_GB2312" w:hAnsi="仿宋_GB2312" w:eastAsia="仿宋_GB2312"/>
          <w:b w:val="0"/>
          <w:sz w:val="32"/>
        </w:rPr>
        <w:t>需防范产能扩张与资本沉淀风险。部分大宗原料药存在阶段性产能过剩与价格竞争，应避免低水平重复扩产。应建立差异化投资指引，向高端制剂、绿色工艺、创新药倾斜，完善投早投硬科技机制，提升资本对集群高质量发展的配置效率，引导理性投资，防范泡沫。多元资本提振产业投资信心。中小配套企业融资约束仍突出。差异化投向可提升配置效率。</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载体以侯镇、羊口省级化工园为主，承载较为充足。寿光推动侯镇化工园优化调整，为高端化工与原料药拓展空间；引导企业退城进园，优化区域布局释放先进产能。高新区科创园建多层标准车间，提高土地集约度。园区化为原料药集聚提供合规、集约的空间保障，承载有力。园区集约支撑集群空间需求。绿色属性契合能耗双控要求。</w:t>
      </w:r>
    </w:p>
    <w:p>
      <w:pPr>
        <w:spacing w:lineRule="exact" w:line="600" w:after="0"/>
        <w:ind w:firstLine="420"/>
      </w:pPr>
      <w:r>
        <w:rPr>
          <w:rFonts w:ascii="仿宋_GB2312" w:hAnsi="仿宋_GB2312" w:eastAsia="仿宋_GB2312"/>
          <w:b w:val="0"/>
          <w:sz w:val="32"/>
        </w:rPr>
        <w:t>原料药制造单位产值能耗与排放高于一般制造业，受能耗双控与环保约束明显。寿光推进化工园区循环化改造，完善公共管廊、污水收集与中水回用设施，提升承载能力与绿色低碳水平。绿色工艺与连续制造是降低能耗物耗的关键，也是扩产能的前提条件，绿色底色鲜明。园区集约支撑集群空间需求。绿色属性契合能耗双控要求。腾笼换鸟提升亩均产出浓度。</w:t>
      </w:r>
    </w:p>
    <w:p>
      <w:pPr>
        <w:spacing w:lineRule="exact" w:line="600" w:after="0"/>
        <w:ind w:firstLine="420"/>
      </w:pPr>
      <w:r>
        <w:rPr>
          <w:rFonts w:ascii="仿宋_GB2312" w:hAnsi="仿宋_GB2312" w:eastAsia="仿宋_GB2312"/>
          <w:b w:val="0"/>
          <w:sz w:val="32"/>
        </w:rPr>
        <w:t>园区扩区与低效用地盘活并举。寿光探索羊口、侯镇、田柳等园区盘活低效闲置资源，腾笼换鸟提升投资强度与产出浓度。未来应严控亩均产出门槛，引导企业集约用地，避免铺摊子式扩张，以集约用地与绿色改造支撑集群在双控下的可持续扩张，提升土地利用效率。园区集约支撑集群空间需求。绿色属性契合能耗双控要求。腾笼换鸟提升亩均产出浓度。</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基础化工原料、海洋化工资源为主，本地配套较好。寿光依托海洋化工发展溴素，富康借此打造从溴素到复方新诺明全产业链；双氰胺等关键原料通过上游基地自主保障，降低外依。新华制药依托母公司精细化工原料体系，主要中间体自我配套，供应安全有保障，配套便捷。本地化工基础提供近地配套。高端原材料外依需向上游延伸。</w:t>
      </w:r>
    </w:p>
    <w:p>
      <w:pPr>
        <w:spacing w:lineRule="exact" w:line="600" w:after="0"/>
        <w:ind w:firstLine="420"/>
      </w:pPr>
      <w:r>
        <w:rPr>
          <w:rFonts w:ascii="仿宋_GB2312" w:hAnsi="仿宋_GB2312" w:eastAsia="仿宋_GB2312"/>
          <w:b w:val="0"/>
          <w:sz w:val="32"/>
        </w:rPr>
        <w:t>高端原材料与特殊辅料仍依赖外部。部分高纯试剂、功能包材与复杂中间体需外地采购；绿色与连续制造所需特种催化剂、酶制剂供给有限。集群应借力寿光化工与生物基新材料基础，向上游关键材料延伸，提升原材料自主保障，降低外部断供与价格波动风险，增强供应链韧性。本地化工基础提供近地配套。高端原材料外依需向上游延伸。绿色工艺开辟原料高值化新路。</w:t>
      </w:r>
    </w:p>
    <w:p>
      <w:pPr>
        <w:spacing w:lineRule="exact" w:line="600" w:after="0"/>
        <w:ind w:firstLine="420"/>
      </w:pPr>
      <w:r>
        <w:rPr>
          <w:rFonts w:ascii="仿宋_GB2312" w:hAnsi="仿宋_GB2312" w:eastAsia="仿宋_GB2312"/>
          <w:b w:val="0"/>
          <w:sz w:val="32"/>
        </w:rPr>
        <w:t>绿色与循环原料成为新方向。随着原料药绿色制造要求提升，生物基与可再生原料应用潜力扩大。集群可依托寿光生物基新材料产业基础，探索可持续原料在原料药与辅料中的应用，既契合双碳与环保要求，也开辟原材料本地化与高值化新路径，培育绿色增长点在原料端落地。本地化工基础提供近地配套。高端原材料外依需向上游延伸。绿色工艺开辟原料高值化新路。</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国内大循环为主体。富康、新华制药的原料药与制剂广泛供应国内医药企业与中国市场，二甲双胍、解热镇痛等特色品种国内份额领先（富康二甲双胍占国内市场75%以上）。国内老龄化与慢病用药需求增长，为原料药提供持续内需支撑，市场空间广阔，基本盘稳固。内需扩容释放持续多元需求。应用开放加速国内需求放量。错位定位可巩固国内份额。</w:t>
      </w:r>
    </w:p>
    <w:p>
      <w:pPr>
        <w:spacing w:lineRule="exact" w:line="600" w:after="0"/>
        <w:ind w:firstLine="420"/>
      </w:pPr>
      <w:r>
        <w:rPr>
          <w:rFonts w:ascii="仿宋_GB2312" w:hAnsi="仿宋_GB2312" w:eastAsia="仿宋_GB2312"/>
          <w:b w:val="0"/>
          <w:sz w:val="32"/>
        </w:rPr>
        <w:t>国内应用场景加速打开。带量采购与一致性评价推动原料药、制剂一体化企业获益；寿光以链长制引导企业向制剂生产转变，富康、新华制药制剂产能扩大。随着国产创新药与高端制剂发展，本地原料药配套需求将持续放量，国内市场重要性进一步提升，内需拉动增强。内需扩容释放持续多元需求。应用开放加速国内需求放量。错位定位可巩固国内份额。</w:t>
      </w:r>
    </w:p>
    <w:p>
      <w:pPr>
        <w:spacing w:lineRule="exact" w:line="600" w:after="0"/>
        <w:ind w:firstLine="420"/>
      </w:pPr>
      <w:r>
        <w:rPr>
          <w:rFonts w:ascii="仿宋_GB2312" w:hAnsi="仿宋_GB2312" w:eastAsia="仿宋_GB2312"/>
          <w:b w:val="0"/>
          <w:sz w:val="32"/>
        </w:rPr>
        <w:t>区域市场存在同质竞争隐忧。山东淄博、菏泽等地也在发展医药集群，省内特色原料药需求若不能有效分工，可能出现低水平争夺。集群应立足原料药制造与特色品种优势，错位承接国内制剂企业与外贸订单，以质量与成本巩固国内市场份额，实现差异化胜出。内需扩容释放持续多元需求。应用开放加速国内需求放量。错位定位可巩固国内份额。</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向度较高，特色原料药深度嵌入全球供应链。富康产品畅销80多个国家和地区，与诺华、礼来等国际顶级药企建立稳固供货关系，年出口创汇1亿多美元；新华制药为国内医药出口五强，与拜耳、罗氏等200多家跨国企业合作，出口规模可观，是集群外贸基本盘核心，国际依存度较高。特色原料药构成外贸基本盘。出口结构偏原料药需多元拓展。</w:t>
      </w:r>
    </w:p>
    <w:p>
      <w:pPr>
        <w:spacing w:lineRule="exact" w:line="600" w:after="0"/>
        <w:ind w:firstLine="420"/>
      </w:pPr>
      <w:r>
        <w:rPr>
          <w:rFonts w:ascii="仿宋_GB2312" w:hAnsi="仿宋_GB2312" w:eastAsia="仿宋_GB2312"/>
          <w:b w:val="0"/>
          <w:sz w:val="32"/>
        </w:rPr>
        <w:t>出口结构以原料药与中间体为主，制剂出海逐步增加。富康、新华制药凭借FDA、CEP等国际认证进入欧美高端市场，但整体制剂出口占比仍低于原料药。受国际经贸与汇率影响，原料药价格与订单波动会传导至集群出口。需拓展多元市场，分散单一区域风险，优化出口结构。特色原料药构成外贸基本盘。出口结构偏原料药需多元拓展。合规体系对冲外部壁垒冲击。</w:t>
      </w:r>
    </w:p>
    <w:p>
      <w:pPr>
        <w:spacing w:lineRule="exact" w:line="600" w:after="0"/>
        <w:ind w:firstLine="420"/>
      </w:pPr>
      <w:r>
        <w:rPr>
          <w:rFonts w:ascii="仿宋_GB2312" w:hAnsi="仿宋_GB2312" w:eastAsia="仿宋_GB2312"/>
          <w:b w:val="0"/>
          <w:sz w:val="32"/>
        </w:rPr>
        <w:t>贸易壁垒与合规成本上升。欧美对药品质量、数据完整性、环保要求严苛，注册与维护成本高。集群企业应巩固FDA、CEP、GMP等合规体系，利用寿光港口与物流优势优化通关，稳住并扩大原料药全球份额，以质量信誉对冲外部壁垒冲击，提升出海韧性。特色原料药构成外贸基本盘。出口结构偏原料药需多元拓展。合规体系对冲外部壁垒冲击。</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以富康、新华制药为核心品牌名片。富康列中国医药工业百强、国际化百强，其二甲双胍全球第一构成强背书；新华制药新华牌为中国驰名商标、商务部重点培育出口名牌。寿光整体以特色原料药集群品牌对外传播，提升在全国医药版图中的识别度与集聚引力，品牌势能持续累积。富康品牌提升集群识别度。区域公共品牌矩阵尚待构建。国际话语权仍落后于制造声誉。</w:t>
      </w:r>
    </w:p>
    <w:p>
      <w:pPr>
        <w:spacing w:lineRule="exact" w:line="600" w:after="0"/>
        <w:ind w:firstLine="420"/>
      </w:pPr>
      <w:r>
        <w:rPr>
          <w:rFonts w:ascii="仿宋_GB2312" w:hAnsi="仿宋_GB2312" w:eastAsia="仿宋_GB2312"/>
          <w:b w:val="0"/>
          <w:sz w:val="32"/>
        </w:rPr>
        <w:t>区域公共品牌建设起步。寿光特色原料药集群入选省特色产业集群，与生物基新材料集群共同构成省级特色板块；博苑股份上市、天力药业打破垄断等增强集群标识。但集群级公共品牌、制剂品牌与平台品牌偏弱，需打造寿光原料药区域品牌矩阵，提升软实力与招商吸引力，补齐品牌短板。富康品牌提升集群识别度。区域公共品牌矩阵尚待构建。</w:t>
      </w:r>
    </w:p>
    <w:p>
      <w:pPr>
        <w:spacing w:lineRule="exact" w:line="600" w:after="0"/>
        <w:ind w:firstLine="420"/>
      </w:pPr>
      <w:r>
        <w:rPr>
          <w:rFonts w:ascii="仿宋_GB2312" w:hAnsi="仿宋_GB2312" w:eastAsia="仿宋_GB2312"/>
          <w:b w:val="0"/>
          <w:sz w:val="32"/>
        </w:rPr>
        <w:t>品牌国际化任重道远。相比制造声誉，集群在创新药、高端制剂与标准领域的国际话语权不足。应支持龙头企业主导或参与国际标准制定，鼓励制剂出海与注册，以技术、品牌双输出提升全球影响力，避免长期停留于原料药代工的品牌位阶，迈向价值链高端，提升位势。富康品牌提升集群识别度。区域公共品牌矩阵尚待构建。国际话语权仍落后于制造声誉。</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正由大宗原料药向特色与高端制剂迁移。早期集群以解热镇痛等大宗品种为主，当前降糖（二甲双胍）、消化、抗感染等特色品种与缓控释、复杂制剂需求快速上升。老龄化与慢病管理催生长期用药需求，为特色原料药提供稳定增长的基本盘与新空间，需求结构升级。B端需求成为新增长引擎。技术升级催生高端化偏好。紧盯刚需可提升抗风险能力。</w:t>
      </w:r>
    </w:p>
    <w:p>
      <w:pPr>
        <w:spacing w:lineRule="exact" w:line="600" w:after="0"/>
        <w:ind w:firstLine="420"/>
      </w:pPr>
      <w:r>
        <w:rPr>
          <w:rFonts w:ascii="仿宋_GB2312" w:hAnsi="仿宋_GB2312" w:eastAsia="仿宋_GB2312"/>
          <w:b w:val="0"/>
          <w:sz w:val="32"/>
        </w:rPr>
        <w:t>技术融合催生新需求。绿色制造、连续生产、数字化质量管控成为下游客户新偏好；创新药与高端制剂对高纯原料药、定制中间体需求上升。需求端对质量、合规、稳定供应的偏好，倒逼集群在工艺与质量体系上持续迭代，需求结构更趋高端化、规范化，倒逼能力升级。B端需求成为新增长引擎。技术升级催生高端化偏好。紧盯刚需可提升抗风险能力。</w:t>
      </w:r>
    </w:p>
    <w:p>
      <w:pPr>
        <w:spacing w:lineRule="exact" w:line="600" w:after="0"/>
        <w:ind w:firstLine="420"/>
      </w:pPr>
      <w:r>
        <w:rPr>
          <w:rFonts w:ascii="仿宋_GB2312" w:hAnsi="仿宋_GB2312" w:eastAsia="仿宋_GB2312"/>
          <w:b w:val="0"/>
          <w:sz w:val="32"/>
        </w:rPr>
        <w:t>需求不确定性仍存。部分大宗原料药受产能过剩与价格战影响，行业经历调整；企业需平衡扩产与回报。集群应紧盯特色品种与高端制剂刚需，以真实需求牵引研发与产能，避免同质扩产，提升需求端变化下的抗风险与快速响应能力，保持发展定力，行稳致远。B端需求成为新增长引擎。技术升级催生高端化偏好。紧盯刚需可提升抗风险能力。</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外原料药集群竞争加剧。山东淄博、菏泽、临沂及浙江、江苏等地均在原料药与医药布局，在土地、用工、环保容量上展开竞赛。寿光凭借富康、新华制药先发链主与园区承载暂居优势，但若创新与制剂跟不上，易被后来者追赶，需在技术壁垒与生态粘性上筑护城河，巩固先发优势。省内定位错位仍存资源争夺。先发链主是核心护城河。系统竞争力对冲单点劣势。</w:t>
      </w:r>
    </w:p>
    <w:p>
      <w:pPr>
        <w:spacing w:lineRule="exact" w:line="600" w:after="0"/>
        <w:ind w:firstLine="420"/>
      </w:pPr>
      <w:r>
        <w:rPr>
          <w:rFonts w:ascii="仿宋_GB2312" w:hAnsi="仿宋_GB2312" w:eastAsia="仿宋_GB2312"/>
          <w:b w:val="0"/>
          <w:sz w:val="32"/>
        </w:rPr>
        <w:t>同类基地竞争突出。特色原料药赛道参与者众多，价格与合规是核心竞争维度。寿光依托全球第一品种与全产业链构筑差异化优势，但大宗品种仍面临成本竞争。应通过特色品种壁垒、质量信誉与一体化成本，巩固在国内乃至全球供应链中的不可替代地位，强化竞争优势。省内定位错位仍存资源争夺。先发链主是核心护城河。系统竞争力对冲单点劣势。</w:t>
      </w:r>
    </w:p>
    <w:p>
      <w:pPr>
        <w:spacing w:lineRule="exact" w:line="600" w:after="0"/>
        <w:ind w:firstLine="420"/>
      </w:pPr>
      <w:r>
        <w:rPr>
          <w:rFonts w:ascii="仿宋_GB2312" w:hAnsi="仿宋_GB2312" w:eastAsia="仿宋_GB2312"/>
          <w:b w:val="0"/>
          <w:sz w:val="32"/>
        </w:rPr>
        <w:t>需以差异化突围应对竞争。集群应坚守特色原料药与制剂一体化定位，强化二甲双胍、奥美拉唑等不可替代品种，深化与省内医药集群的协同而非内耗。以链长制与场景开放放大生态优势，以系统竞争力对冲单点资源劣势，在区域竞合中稳固特色地位，实现错位共赢。省内定位错位仍存资源争夺。先发链主是核心护城河。系统竞争力对冲单点劣势。</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结构问题首在价值链偏低。集群原料药强、创新药与高端制剂弱，原始创新与复杂制剂本土供给不足，价值重心偏低。多数中小企业营收规模小、研发弱，腰部企业断层，生态多样性有余而高峰不足。创新资源向链主集中，中小企业获取平台与场景机会不均，结构优化任务较重。结构偏原料药是核心矛盾。协同深度不足限制网络效率。人才错配拖累创造能力。</w:t>
      </w:r>
    </w:p>
    <w:p>
      <w:pPr>
        <w:spacing w:lineRule="exact" w:line="600" w:after="0"/>
        <w:ind w:firstLine="420"/>
      </w:pPr>
      <w:r>
        <w:rPr>
          <w:rFonts w:ascii="仿宋_GB2312" w:hAnsi="仿宋_GB2312" w:eastAsia="仿宋_GB2312"/>
          <w:b w:val="0"/>
          <w:sz w:val="32"/>
        </w:rPr>
        <w:t>其次是企业协同深度不够。链主与配套企业多为接单供货线性关系，联合攻关、数据共享、标准共定等深层协作偏少；部分企业同质化竞争，知识溢出受限。集群治理机制尚不健全，缺乏常态化产学研对接与供需匹配平台，制约整体网络效率提升与协同创新能力的释放，协同待加强。结构偏原料药是核心矛盾。协同深度不足限制网络效率。人才错配拖累创造能力。</w:t>
      </w:r>
    </w:p>
    <w:p>
      <w:pPr>
        <w:spacing w:lineRule="exact" w:line="600" w:after="0"/>
        <w:ind w:firstLine="420"/>
      </w:pPr>
      <w:r>
        <w:rPr>
          <w:rFonts w:ascii="仿宋_GB2312" w:hAnsi="仿宋_GB2312" w:eastAsia="仿宋_GB2312"/>
          <w:b w:val="0"/>
          <w:sz w:val="32"/>
        </w:rPr>
        <w:t>再次是人才结构错配。原料药制造人才充裕，但高端制剂研发、复杂工艺工程、国际注册等复合人才紧缺，且流向一线城市压力较大。内部问题叠加，使集群在从原料药制造向创造升级中面临能力短板，亟需系统破解，提升内生创新能力与高端人才供给。结构偏原料药是核心矛盾。协同深度不足限制网络效率。人才错配拖累创造能力。结构偏原料药是核心矛盾。</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首要是价格与周期波动。原料药行业受产能过剩、环保整治与下游制剂需求影响，价格周期性波动明显；大宗品种毛利承压，若主流品种需求调整，既有产能面临利用不足风险。集群需保持产品组合弹性与成本优势，增强抗周期能力，提升经营韧性，平稳应对波动。环保约束趋严放大合规风险。供应链外依需建多源机制。稳健节奏护航穿越周期。</w:t>
      </w:r>
    </w:p>
    <w:p>
      <w:pPr>
        <w:spacing w:lineRule="exact" w:line="600" w:after="0"/>
        <w:ind w:firstLine="420"/>
      </w:pPr>
      <w:r>
        <w:rPr>
          <w:rFonts w:ascii="仿宋_GB2312" w:hAnsi="仿宋_GB2312" w:eastAsia="仿宋_GB2312"/>
          <w:b w:val="0"/>
          <w:sz w:val="32"/>
        </w:rPr>
        <w:t>其次是供应链与合规风险。关键中间体、特殊辅料对外依存，地缘与贸易摩擦可能阻断供应；欧美质量与环保合规要求抬高出海成本。原材料与设备若受限将冲击交付。集群应建立关键物料储备与多源采购，加快绿色工艺与国产替代，筑牢安全底线，保障供应链稳定。环保约束趋严放大合规风险。供应链外依需建多源机制。稳健节奏护航穿越周期。</w:t>
      </w:r>
    </w:p>
    <w:p>
      <w:pPr>
        <w:spacing w:lineRule="exact" w:line="600" w:after="0"/>
        <w:ind w:firstLine="420"/>
      </w:pPr>
      <w:r>
        <w:rPr>
          <w:rFonts w:ascii="仿宋_GB2312" w:hAnsi="仿宋_GB2312" w:eastAsia="仿宋_GB2312"/>
          <w:b w:val="0"/>
          <w:sz w:val="32"/>
        </w:rPr>
        <w:t>再次是环保与政策风险。原料药属高环保约束行业，双碳与排污许可趋严，扩产受容量限制；若医药政策与集采节奏变化，影响需求与价格。应坚持绿色、合规导向，以稳健的技改与基金节奏护航集群穿越周期，实现从政策驱动向市场驱动的平稳过渡，行稳致远。环保约束趋严放大合规风险。供应链外依需建多源机制。稳健节奏护航穿越周期。</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层面，原料药受产业结构调整指导目录与医药工业规划支持，鼓励特色原料药、绿色工艺与高端制剂发展；一致性评价、带量采购等政策引导原料药、制剂一体化。山东将生物医药列为十强产业，支持寿光等原料药基地建设，为集群提供顶层导向与资源通道，战略定位清晰。省级特色产业集群定位明确方向。市级规划提供制度保障。产业政策锚定功能坐标。</w:t>
      </w:r>
    </w:p>
    <w:p>
      <w:pPr>
        <w:spacing w:lineRule="exact" w:line="600" w:after="0"/>
        <w:ind w:firstLine="420"/>
      </w:pPr>
      <w:r>
        <w:rPr>
          <w:rFonts w:ascii="仿宋_GB2312" w:hAnsi="仿宋_GB2312" w:eastAsia="仿宋_GB2312"/>
          <w:b w:val="0"/>
          <w:sz w:val="32"/>
        </w:rPr>
        <w:t>省级明确将寿光特色原料药纳入特色产业集群培育，与生物基新材料等共同构成省级特色板块。省工信厅2024年度认定寿光特色原料药集群为省特色产业集群，肯定其管理机制创新、产业链协同与创新能力，顶层政策为集群确立了特色化、专业化的功能坐标与向上争取资源的通道。省级特色产业集群定位明确方向。市级规划提供制度保障。</w:t>
      </w:r>
    </w:p>
    <w:p>
      <w:pPr>
        <w:spacing w:lineRule="exact" w:line="600" w:after="0"/>
        <w:ind w:firstLine="420"/>
      </w:pPr>
      <w:r>
        <w:rPr>
          <w:rFonts w:ascii="仿宋_GB2312" w:hAnsi="仿宋_GB2312" w:eastAsia="仿宋_GB2312"/>
          <w:b w:val="0"/>
          <w:sz w:val="32"/>
        </w:rPr>
        <w:t>寿光市级将特色原料药列入1511特色产业集群与链长制重点，出台新兴产业扩增量行动与百项技改百企转型。市级顶层政策体系清晰，为集群提供从规划到落地的制度保障，政策连续性强，引导产业向高科技型与制剂生产两个转变稳步推进，制度环境优良。省级特色产业集群定位明确方向。市级规划提供制度保障。产业政策锚定功能坐标。</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寿光以链长制为抓手，逐一梳理供应链、关键技术、市场拓展、区域分布四张图谱，狠抓全链条聚合、集群化扩张。对富康、新华制药等链主实施项目包靠与全生命周期服务，新上4个过亿元产业链项目，推动退城进园释放产能，扶持力度在县级层面领先，政策落地性强。基金加政策包构建生态。精准扶持实现造血式培育。政策触达率仍可进一步提升。</w:t>
      </w:r>
    </w:p>
    <w:p>
      <w:pPr>
        <w:spacing w:lineRule="exact" w:line="600" w:after="0"/>
        <w:ind w:firstLine="420"/>
      </w:pPr>
      <w:r>
        <w:rPr>
          <w:rFonts w:ascii="仿宋_GB2312" w:hAnsi="仿宋_GB2312" w:eastAsia="仿宋_GB2312"/>
          <w:b w:val="0"/>
          <w:sz w:val="32"/>
        </w:rPr>
        <w:t>场景与载体扶持并行。设立羊口化工产业园引导原料药企业集聚，优化侯镇化工园布局；高新区科创园投资22亿元招商引入恒邦中科、索理德等10个项目。百项技改、百企转型行动引导企业智改数转，174个项目入选省市技改导向目录，形成可持续扶持机制，激发主体活力。基金加政策包构建生态。精准扶持实现造血式培育。政策触达率仍可进一步提升。</w:t>
      </w:r>
    </w:p>
    <w:p>
      <w:pPr>
        <w:spacing w:lineRule="exact" w:line="600" w:after="0"/>
        <w:ind w:firstLine="420"/>
      </w:pPr>
      <w:r>
        <w:rPr>
          <w:rFonts w:ascii="仿宋_GB2312" w:hAnsi="仿宋_GB2312" w:eastAsia="仿宋_GB2312"/>
          <w:b w:val="0"/>
          <w:sz w:val="32"/>
        </w:rPr>
        <w:t>人才与金融扶持并行。实施优质企业梯度培育，年内新增优质企业70家以上；通过重点项目导向目录引导信贷与基金。但政策兑现效率与中小企业触达率仍可提升，需简化申报流程、扩大政策知晓面，让更多中小配套企业享受到要素与资金支持，普惠施策，扩大受益面。基金加政策包构建生态。精准扶持实现造血式培育。政策触达率仍可进一步提升。</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专业化工园与平台为主。侯镇、羊口省级化工园提供标准化厂房、公用工程与环保设施；高新区科创园提供孵化与中试空间；富康国家级企业技术中心、上药信谊富康研究院提供共性技术。配套体系较为完备，为原料药集聚提供硬支撑，承载能力较强。园区平台构成完备配套体系。审批提速提升营商便利度。中小企公共服务短板需补建。</w:t>
      </w:r>
    </w:p>
    <w:p>
      <w:pPr>
        <w:spacing w:lineRule="exact" w:line="600" w:after="0"/>
        <w:ind w:firstLine="420"/>
      </w:pPr>
      <w:r>
        <w:rPr>
          <w:rFonts w:ascii="仿宋_GB2312" w:hAnsi="仿宋_GB2312" w:eastAsia="仿宋_GB2312"/>
          <w:b w:val="0"/>
          <w:sz w:val="32"/>
        </w:rPr>
        <w:t>政务服务持续优化。寿光推进园区搭建平台实现产业集聚化发展，构建一核两翼多区联动格局；以全生命周期服务推动项目快落地。但面向中小配套企业的中试熟化、检测认证、国际注册等公共平台不足；危废处置、集中供热等专业服务供给仍需增强，应补建公共服务缩小鸿沟。园区平台构成完备配套体系。审批提速提升营商便利度。中小企公共服务短板需补建。</w:t>
      </w:r>
    </w:p>
    <w:p>
      <w:pPr>
        <w:spacing w:lineRule="exact" w:line="600" w:after="0"/>
        <w:ind w:firstLine="420"/>
      </w:pPr>
      <w:r>
        <w:rPr>
          <w:rFonts w:ascii="仿宋_GB2312" w:hAnsi="仿宋_GB2312" w:eastAsia="仿宋_GB2312"/>
          <w:b w:val="0"/>
          <w:sz w:val="32"/>
        </w:rPr>
        <w:t>配套短板在中小企公共服务。原料药企业普遍面临中试、注册、环保成本高，公共平台缺位推高创业门槛。应补建面向原料药的中试、检测与合规公共服务平台，完善园区公用工程与循环经济设施，提升大小企业服务均等性，强化集群承载与创新能力，降低配套成本。园区平台构成完备配套体系。审批提速提升营商便利度。中小企公共服务短板需补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作用凸显。寿光依托链长制与重点企业，推动原料药产业链协同与标准布局；企业间通过链主牵引形成配套联合体，提升了集群组织化水平与协同效率，使分散企业更好融入全产业链协作网络，组织化水平显著提高。联盟提升集群组织化水平。纽带功能促进大中小企业融通。协会可承担预警共育职能。联盟提升集群组织化水平。</w:t>
      </w:r>
    </w:p>
    <w:p>
      <w:pPr>
        <w:spacing w:lineRule="exact" w:line="600" w:after="0"/>
        <w:ind w:firstLine="420"/>
      </w:pPr>
      <w:r>
        <w:rPr>
          <w:rFonts w:ascii="仿宋_GB2312" w:hAnsi="仿宋_GB2312" w:eastAsia="仿宋_GB2312"/>
          <w:b w:val="0"/>
          <w:sz w:val="32"/>
        </w:rPr>
        <w:t>联盟在供需对接与场景开放中发挥纽带功能。通过组织企业参与技改对接、展会与产学研活动，促进大中小企业融通；协助制定行业质量与接口标准，减少配套摩擦。但联盟偏重龙头主导，中小会员话语权有限，需完善治理结构，让配套企业更平等参与规则制定与资源共享，增强代表性。联盟提升集群组织化水平。纽带功能促进大中小企业融通。</w:t>
      </w:r>
    </w:p>
    <w:p>
      <w:pPr>
        <w:spacing w:lineRule="exact" w:line="600" w:after="0"/>
        <w:ind w:firstLine="420"/>
      </w:pPr>
      <w:r>
        <w:rPr>
          <w:rFonts w:ascii="仿宋_GB2312" w:hAnsi="仿宋_GB2312" w:eastAsia="仿宋_GB2312"/>
          <w:b w:val="0"/>
          <w:sz w:val="32"/>
        </w:rPr>
        <w:t>协会还应承担人才共育与风险预警职能。可依托联盟建立原料药人才库与实训共享机制，联合发布技术路线与需求预警，引导企业错峰布局。借鉴潍坊五链融合经验，推动协会在产业链、人才链、创新链、教育链、金融链协同中扮演更积极的撮合角色，释放组织效能。联盟提升集群组织化水平。纽带功能促进大中小企业融通。协会可承担预警共育职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对区域经济拉动显著。2024年羊口镇规上工业营收849.6亿元，富康、新华制药等链主带动上下游配套产值。特色原料药集群入选省特色产业集群，标志集群化水平获认可。集群加速从单点企业向系统集群跃升，成为寿光工业与财税的重要增长极与稳定器，贡献突出。集群拉动区域经济稳健向好。集群化提升全要素生产率。外溢均衡化共享发展红利。</w:t>
      </w:r>
    </w:p>
    <w:p>
      <w:pPr>
        <w:spacing w:lineRule="exact" w:line="600" w:after="0"/>
        <w:ind w:firstLine="420"/>
      </w:pPr>
      <w:r>
        <w:rPr>
          <w:rFonts w:ascii="仿宋_GB2312" w:hAnsi="仿宋_GB2312" w:eastAsia="仿宋_GB2312"/>
          <w:b w:val="0"/>
          <w:sz w:val="32"/>
        </w:rPr>
        <w:t>产业集群化提升全要素生产率。园区集聚降低配套与物流成本，百项技改与基金政策撬动投资，2024年寿光推进114个过亿元项目。集群通过链主加配套分工优化资源配置，推动医药产业向高附加值环节攀升，经济效应由规模扩张转向质量效益并重，发展质量改善，效益提升。集群拉动区域经济稳健向好。集群化提升全要素生产率。外溢均衡化共享发展红利。</w:t>
      </w:r>
    </w:p>
    <w:p>
      <w:pPr>
        <w:spacing w:lineRule="exact" w:line="600" w:after="0"/>
        <w:ind w:firstLine="420"/>
      </w:pPr>
      <w:r>
        <w:rPr>
          <w:rFonts w:ascii="仿宋_GB2312" w:hAnsi="仿宋_GB2312" w:eastAsia="仿宋_GB2312"/>
          <w:b w:val="0"/>
          <w:sz w:val="32"/>
        </w:rPr>
        <w:t>需关注经济效应区域外溢不均。集群核心收益集中于链主与园区，周边配套获益相对间接；且大宗原料药毛利承压，长期需靠高端制剂提升效益。应完善利益共享与产值分计机制，让寿光全域更均衡分享原料药集群发展红利，巩固经济增长的可持续性与包容性。集群拉动区域经济稳健向好。集群化提升全要素生产率。外溢均衡化共享发展红利。</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高质量就业。富康、新华制药等链主吸纳数以万计的产业工人与研发、国际化人才；博康制药等扩产项目新增岗位。原料药合成、制剂、质量管理、国际注册等环节提供多元岗位，是寿光稳就业、保民生的重要支撑力量，带动城镇就业增长，惠及面广。链主提供大量高质量岗位。高技能岗位改善人力回报。结构性矛盾需进阶培训破解。</w:t>
      </w:r>
    </w:p>
    <w:p>
      <w:pPr>
        <w:spacing w:lineRule="exact" w:line="600" w:after="0"/>
        <w:ind w:firstLine="420"/>
      </w:pPr>
      <w:r>
        <w:rPr>
          <w:rFonts w:ascii="仿宋_GB2312" w:hAnsi="仿宋_GB2312" w:eastAsia="仿宋_GB2312"/>
          <w:b w:val="0"/>
          <w:sz w:val="32"/>
        </w:rPr>
        <w:t>人才结构向高技能倾斜。企业技术中心、研究院培育了一批药物合成、制剂工程、质量合规等高薪岗位；职业教育与订单培养提升本地人力回报。集群推动就业从体力型向技能型、专业型升级，增强了本地人力资本回报水平与青年就业吸引力，就业质量改善。链主提供大量高质量岗位。高技能岗位改善人力回报。结构性矛盾需进阶培训破解。链主提供大量高质量岗位。</w:t>
      </w:r>
    </w:p>
    <w:p>
      <w:pPr>
        <w:spacing w:lineRule="exact" w:line="600" w:after="0"/>
        <w:ind w:firstLine="420"/>
      </w:pPr>
      <w:r>
        <w:rPr>
          <w:rFonts w:ascii="仿宋_GB2312" w:hAnsi="仿宋_GB2312" w:eastAsia="仿宋_GB2312"/>
          <w:b w:val="0"/>
          <w:sz w:val="32"/>
        </w:rPr>
        <w:t>就业带动仍存结构性矛盾。高端研发岗竞争激烈、一线操作岗稳定但薪资天花板低，环保与安全岗受行业波动影响。应完善职业技能进阶与转岗培训体系，增强就业韧性；以产业集群引力留住青年人才，缓解人才外流，实现更充分更高质量就业效应与人才留存。链主提供大量高质量岗位。高技能岗位改善人力回报。结构性矛盾需进阶培训破解。</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外溢与产业带动。富康、新华制药的工艺、质量技术向本地配套企业扩散，提升区域精细化工整体水平；原料药带动中间体、辅料、包装与医药物流发展，形成医药加融合溢出。寿光特色原料药与生物基新材料集群协同，正向反馈明显，带动力强。技术外溢提升区域制造水平。平台人才辐射放大正外部性。城市品牌增强招商引力。</w:t>
      </w:r>
    </w:p>
    <w:p>
      <w:pPr>
        <w:spacing w:lineRule="exact" w:line="600" w:after="0"/>
        <w:ind w:firstLine="420"/>
      </w:pPr>
      <w:r>
        <w:rPr>
          <w:rFonts w:ascii="仿宋_GB2312" w:hAnsi="仿宋_GB2312" w:eastAsia="仿宋_GB2312"/>
          <w:b w:val="0"/>
          <w:sz w:val="32"/>
        </w:rPr>
        <w:t>创新溢出通过平台与人才流动实现。上药信谊富康研究院、企业技术中心成果向外辐射；职教与订单培养输送人才充实全市岗位。但溢出存在近邻偏好，对远郊带动有限；应建设跨区协同网络，推动技术、订单、人才向寿光全域及潍坊其他县市外溢，放大正外部性，普惠更广。技术外溢提升区域制造水平。平台人才辐射放大正外部性。城市品牌增强招商引力。</w:t>
      </w:r>
    </w:p>
    <w:p>
      <w:pPr>
        <w:spacing w:lineRule="exact" w:line="600" w:after="0"/>
        <w:ind w:firstLine="420"/>
      </w:pPr>
      <w:r>
        <w:rPr>
          <w:rFonts w:ascii="仿宋_GB2312" w:hAnsi="仿宋_GB2312" w:eastAsia="仿宋_GB2312"/>
          <w:b w:val="0"/>
          <w:sz w:val="32"/>
        </w:rPr>
        <w:t>品牌与信心溢出不可忽视。寿光特色原料药集群省级认定提升招商引力与投资信心；博苑股份上市、天力药业破垄断鼓舞本土创新。集群作为新质生产力标杆增强城市能级与辨识度，为其他产业提供可复制的链长制范式，溢出效应超越单一产业边界，带动城市整体跃升。技术外溢提升区域制造水平。平台人才辐射放大正外部性。城市品牌增强招商引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体现在公共服务与民生改善。原料药产业保障国内用药供应，二甲双胍等慢病药物惠及广大患者；企业质量与合规建设提升药品安全。寿光以产业升级带动居民就业与收入，使居民就近享受产业发展红利，增强城市宜居度与获得感，民生改善明显。产业红利下沉改善民生。治理应用提升城市效能。产业自信凝聚社会共识。产业红利下沉改善民生。</w:t>
      </w:r>
    </w:p>
    <w:p>
      <w:pPr>
        <w:spacing w:lineRule="exact" w:line="600" w:after="0"/>
        <w:ind w:firstLine="420"/>
      </w:pPr>
      <w:r>
        <w:rPr>
          <w:rFonts w:ascii="仿宋_GB2312" w:hAnsi="仿宋_GB2312" w:eastAsia="仿宋_GB2312"/>
          <w:b w:val="0"/>
          <w:sz w:val="32"/>
        </w:rPr>
        <w:t>在社会治理方面，化工园区规范化提升安全环保水平，降低社会风险；集群发展带动城市质量文化与合规意识。但需防范环保与安全风险，确保绿色生产普惠不同群体，避免污染集中于特定区域，维护社会公平与环境正义，建设包容性、绿色化的产业集群，守护公共利益。产业红利下沉改善民生。治理应用提升城市效能。产业自信凝聚社会共识。</w:t>
      </w:r>
    </w:p>
    <w:p>
      <w:pPr>
        <w:spacing w:lineRule="exact" w:line="600" w:after="0"/>
        <w:ind w:firstLine="420"/>
      </w:pPr>
      <w:r>
        <w:rPr>
          <w:rFonts w:ascii="仿宋_GB2312" w:hAnsi="仿宋_GB2312" w:eastAsia="仿宋_GB2312"/>
          <w:b w:val="0"/>
          <w:sz w:val="32"/>
        </w:rPr>
        <w:t>集群还带来观念与文化自信效应。寿光从蔬菜之乡到医药产业高地的跃迁，重塑城市产业自信；媒体广泛传播的产业链故事鼓舞本土创新氛围。社会效应深层体现，是城市以特色产业重塑发展预期，凝聚起向新而行的社会共识与行动合力，涵养创新文化，提振信心。产业红利下沉改善民生。治理应用提升城市效能。产业自信凝聚社会共识。产业红利下沉改善民生。</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优势在于链主强势、特色品种全球领先、政策完整、载体充足；短板在于创新药与高端制剂偏弱、关键辅料外依、腰部企业断层、链主与配套深层协作不足、高端复合人才紧缺。结构价值偏低是核心矛盾，制约从原料药制造向创造集群跃升，亟待破局。优势短板并存需系统施策。外部挑战具多重叠加性。能级待升期须转换红利。优势短板并存需系统施策。</w:t>
      </w:r>
    </w:p>
    <w:p>
      <w:pPr>
        <w:spacing w:lineRule="exact" w:line="600" w:after="0"/>
        <w:ind w:firstLine="420"/>
      </w:pPr>
      <w:r>
        <w:rPr>
          <w:rFonts w:ascii="仿宋_GB2312" w:hAnsi="仿宋_GB2312" w:eastAsia="仿宋_GB2312"/>
          <w:b w:val="0"/>
          <w:sz w:val="32"/>
        </w:rPr>
        <w:t>外部挑战来自区域同质竞争、价格周期波动、供应链与合规壁垒、环保政策约束。内部治理上，协会纽带、公共服务平台、场景开放机制尚可优化。问题具系统性，需以强链补链延链为主线，统筹技术、企业、要素、政策多维发力，避免单点施策、顾此失彼，系统施策。优势短板并存需系统施策。外部挑战具多重叠加性。能级待升期须转换红利。</w:t>
      </w:r>
    </w:p>
    <w:p>
      <w:pPr>
        <w:spacing w:lineRule="exact" w:line="600" w:after="0"/>
        <w:ind w:firstLine="420"/>
      </w:pPr>
      <w:r>
        <w:rPr>
          <w:rFonts w:ascii="仿宋_GB2312" w:hAnsi="仿宋_GB2312" w:eastAsia="仿宋_GB2312"/>
          <w:b w:val="0"/>
          <w:sz w:val="32"/>
        </w:rPr>
        <w:t>需求端已从大宗原料药转向特色与高端制剂，对集群能力提出新要求。能否抓住高端制剂、绿色制造窗口，取决于底层工艺自主与注册能力。总结而言，集群处于规模领先但能级待升关键期，亟需以创新驱动与生态优化，实现由政策红利向市场红利根本转换，迈上新台阶。优势短板并存需系统施策。外部挑战具多重叠加性。能级待升期须转换红利。</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重在补齐高端制剂与关键材料短板。应支持复杂制剂、缓控释、首仿药研发，引育CXO与药用辅料企业；向上游突破高纯试剂、特殊包材、绿色催化剂，依托本地化工基础延伸关键材料，降低对外依存，提升产业链自主可控水平与韧性，夯实全链安全底盘。补链聚焦高端制剂与催化剂。强链巩固特色原料药优势。延链迈向高附加值服务。</w:t>
      </w:r>
    </w:p>
    <w:p>
      <w:pPr>
        <w:spacing w:lineRule="exact" w:line="600" w:after="0"/>
        <w:ind w:firstLine="420"/>
      </w:pPr>
      <w:r>
        <w:rPr>
          <w:rFonts w:ascii="仿宋_GB2312" w:hAnsi="仿宋_GB2312" w:eastAsia="仿宋_GB2312"/>
          <w:b w:val="0"/>
          <w:sz w:val="32"/>
        </w:rPr>
        <w:t>强链重在巩固特色原料药优势环节。以富康、新华制药为核，持续攻关二甲双胍、奥美拉唑等全球领先品种的工艺与质量，扩大全球份额与技术壁垒；推动原料药向工艺、制剂一体化升级，强化在全球价值链中的节点控制力与议价能力，筑牢不可替代的竞争优势基本盘。补链聚焦高端制剂与催化剂。强链巩固特色原料药优势。延链迈向高附加值服务。</w:t>
      </w:r>
    </w:p>
    <w:p>
      <w:pPr>
        <w:spacing w:lineRule="exact" w:line="600" w:after="0"/>
        <w:ind w:firstLine="420"/>
      </w:pPr>
      <w:r>
        <w:rPr>
          <w:rFonts w:ascii="仿宋_GB2312" w:hAnsi="仿宋_GB2312" w:eastAsia="仿宋_GB2312"/>
          <w:b w:val="0"/>
          <w:sz w:val="32"/>
        </w:rPr>
        <w:t>延链重在向高附加值服务端延伸。发展高端制剂、医药研发服务、医药物流与品牌，培育自有制剂品牌与注册能力；推动价值重心由原料药制造向技术、制剂、服务迁移。依托退城进园与科创园开放更多场景，形成研发、中试、产业化闭环，延长生命周期，提升综合能级。补链聚焦高端制剂与催化剂。强链巩固特色原料药优势。延链迈向高附加值服务。</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腰部、幼苗梯次培育。支持富康、新华制药稳链主、强标准；遴选潜力企业给予上市与专精特新扶持，壮大腰部中坚；对中小配套实施小升规与专精特新培育。借鉴寿光优质企业梯度体系，打造创新型、专精特新、小巨人、单项冠军成长通道，厚植梯队，壮大后备。梯次培育壮大企业后备。融通发展形成雨林生态。出海能力拓展外部空间。</w:t>
      </w:r>
    </w:p>
    <w:p>
      <w:pPr>
        <w:spacing w:lineRule="exact" w:line="600" w:after="0"/>
        <w:ind w:firstLine="420"/>
      </w:pPr>
      <w:r>
        <w:rPr>
          <w:rFonts w:ascii="仿宋_GB2312" w:hAnsi="仿宋_GB2312" w:eastAsia="仿宋_GB2312"/>
          <w:b w:val="0"/>
          <w:sz w:val="32"/>
        </w:rPr>
        <w:t>推动大中小企业融通。建立链主向配套开放场景、订单、检测平台机制，组织融链固链对接；鼓励龙头企业通过众创、并购整合中小技术，形成雨林型生态。支持中小企业卡位入链，在中间体、辅料、包装等细分点形成差异化竞争力，避免同质内卷，提升网络效率与协同。梯次培育壮大企业后备。融通发展形成雨林生态。出海能力拓展外部空间。</w:t>
      </w:r>
    </w:p>
    <w:p>
      <w:pPr>
        <w:spacing w:lineRule="exact" w:line="600" w:after="0"/>
        <w:ind w:firstLine="420"/>
      </w:pPr>
      <w:r>
        <w:rPr>
          <w:rFonts w:ascii="仿宋_GB2312" w:hAnsi="仿宋_GB2312" w:eastAsia="仿宋_GB2312"/>
          <w:b w:val="0"/>
          <w:sz w:val="32"/>
        </w:rPr>
        <w:t>强化企业出海与品牌能力。支持龙头企业主导国际标准、拓展自主制剂出海；中小企业借力港口与海外仓拓展配套出口。建立原料药企业出海合规与注册公共服务，应对质量与环保壁垒。以技术、品牌双输出，提升集群企业全球市场位势与抗风险能力，拓展外部空间。梯次培育壮大企业后备。融通发展形成雨林生态。出海能力拓展外部空间。梯次培育壮大企业后备。</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提升底层技术原创能力。依托上药信谊富康研究院、富康国家级企业技术中心，布局复杂制剂、绿色合成、连续制造等根技术；鼓励企业牵头组建创新联合体，承担国家级课题。加大基础研究投入占比，推动工艺专利向标准跃升，扭转硬强软弱的产出结构，夯实原创根基。原创能力扭转软弱结构。中试体系畅通转化通道。产教融合筑牢人才根基。</w:t>
      </w:r>
    </w:p>
    <w:p>
      <w:pPr>
        <w:spacing w:lineRule="exact" w:line="600" w:after="0"/>
        <w:ind w:firstLine="420"/>
      </w:pPr>
      <w:r>
        <w:rPr>
          <w:rFonts w:ascii="仿宋_GB2312" w:hAnsi="仿宋_GB2312" w:eastAsia="仿宋_GB2312"/>
          <w:b w:val="0"/>
          <w:sz w:val="32"/>
        </w:rPr>
        <w:t>完善平台共享与中试体系。建设面向中小配套企业的公共中试、检测与注册平台，开放大型仪器与中试线；推动高校院所平台向中小企业可及。以高新区科创园为载体，打造研发、中试、产业化闭环，提升创新成果转化效率与集群整体技术密度，畅通转化通道，提升密度。原创能力扭转软弱结构。中试体系畅通转化通道。产教融合筑牢人才根基。</w:t>
      </w:r>
    </w:p>
    <w:p>
      <w:pPr>
        <w:spacing w:lineRule="exact" w:line="600" w:after="0"/>
        <w:ind w:firstLine="420"/>
      </w:pPr>
      <w:r>
        <w:rPr>
          <w:rFonts w:ascii="仿宋_GB2312" w:hAnsi="仿宋_GB2312" w:eastAsia="仿宋_GB2312"/>
          <w:b w:val="0"/>
          <w:sz w:val="32"/>
        </w:rPr>
        <w:t>深化产教融合与人才共育。扩大订单式培养与校企协同规模，引育高端制剂、国际注册、复杂工艺等高端人才；完善股权激励与安居政策留住核心人才。构建企业出题、院校答题、市场阅卷机制，使人才链与创新链、产业链高效咬合，筑牢集群创新人力根基与长效供给。原创能力扭转软弱结构。中试体系畅通转化通道。产教融合筑牢人才根基。</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资本上，优化基金与信贷投向，向高端制剂、绿色工艺、创新药倾斜，完善知识产权质押与上市扶持；土地上，严控亩均产出门槛、引导企业集约用地，盘活低效用地；能耗上，发挥园区循环化改造优势，争取能耗与排污指标支持绿色扩张，保障要素供给，提升配置效率。资本土地能耗协同保障。绿色要素成为新关键。营商优化稳定要素预期。</w:t>
      </w:r>
    </w:p>
    <w:p>
      <w:pPr>
        <w:spacing w:lineRule="exact" w:line="600" w:after="0"/>
        <w:ind w:firstLine="420"/>
      </w:pPr>
      <w:r>
        <w:rPr>
          <w:rFonts w:ascii="仿宋_GB2312" w:hAnsi="仿宋_GB2312" w:eastAsia="仿宋_GB2312"/>
          <w:b w:val="0"/>
          <w:sz w:val="32"/>
        </w:rPr>
        <w:t>数据要素是新关键。应建设集群级医药数据集与质量库，在合规前提下推动数据有序流通，支撑绿色制造与质量管控；布局中试与检测基础设施，降低中小企业用数成本。原材料上，依托本地化工基础延伸关键试剂与辅料，提升近地配套率与供应链安全，稳固要素底盘。资本土地能耗协同保障。绿色要素成为新关键。营商优化稳定要素预期。资本土地能耗协同保障。</w:t>
      </w:r>
    </w:p>
    <w:p>
      <w:pPr>
        <w:spacing w:lineRule="exact" w:line="600" w:after="0"/>
        <w:ind w:firstLine="420"/>
      </w:pPr>
      <w:r>
        <w:rPr>
          <w:rFonts w:ascii="仿宋_GB2312" w:hAnsi="仿宋_GB2312" w:eastAsia="仿宋_GB2312"/>
          <w:b w:val="0"/>
          <w:sz w:val="32"/>
        </w:rPr>
        <w:t>营商环境持续优化。推广全生命周期服务与链长制包靠，简化政策申报与兑现流程，扩大中小企业政策触达；发挥产业联盟在供需对接、风险预警中的纽带作用。以政策包、基金群、场景开放稳定企业预期，护航集群穿越周期与资本波动，保障要素供给连续性与可预期性。资本土地能耗协同保障。绿色要素成为新关键。营商优化稳定要素预期。</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应从普惠扶持转向精准滴灌。在保持链长制与百项技改基础上，针对高端制剂、创新药、关键材料等环节制定专项细则，避免资金沉淀于大宗重复建设。完善绩效评估，按产出与贡献配置资源，提升财政杠杆精准度与可持续性，提高资金使用效益，优化投入结构。精准滴灌提升资金效益。协同政策放大集群效能。动态评估护航市场转型。精准滴灌提升资金效益。</w:t>
      </w:r>
    </w:p>
    <w:p>
      <w:pPr>
        <w:spacing w:lineRule="exact" w:line="600" w:after="0"/>
        <w:ind w:firstLine="420"/>
      </w:pPr>
      <w:r>
        <w:rPr>
          <w:rFonts w:ascii="仿宋_GB2312" w:hAnsi="仿宋_GB2312" w:eastAsia="仿宋_GB2312"/>
          <w:b w:val="0"/>
          <w:sz w:val="32"/>
        </w:rPr>
        <w:t>强化区域协同政策。立足寿光特色原料药定位，深化与淄博、菏泽等医药集群错位协同，推动省内场景与标准共享，避免内耗。争取国家级原料药基地、绿色制造试点等招牌，向上集聚资源。以协同政策放大山东医药产业链整体效能，提升全省配套水平与协同效率。精准滴灌提升资金效益。协同政策放大集群效能。动态评估护航市场转型。精准滴灌提升资金效益。</w:t>
      </w:r>
    </w:p>
    <w:p>
      <w:pPr>
        <w:spacing w:lineRule="exact" w:line="600" w:after="0"/>
        <w:ind w:firstLine="420"/>
      </w:pPr>
      <w:r>
        <w:rPr>
          <w:rFonts w:ascii="仿宋_GB2312" w:hAnsi="仿宋_GB2312" w:eastAsia="仿宋_GB2312"/>
          <w:b w:val="0"/>
          <w:sz w:val="32"/>
        </w:rPr>
        <w:t>建立动态评估与风险缓冲机制。对原料药赛道设置价格与产能预警，防范产能过剩与资本退潮冲击中小配套；完善基金投早投硬科技容错机制。以稳健、透明、可预期政策环境，引导集群从政策驱动平稳转向市场驱动，实现长期高质量发展与行稳致远，增强韧性。精准滴灌提升资金效益。协同政策放大集群效能。动态评估护航市场转型。精准滴灌提升资金效益。</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寿光市人民政府关于印发2025年《政府工作报告》的通知 https://www.shouguang.gov.cn/zwgk/xxgk/zfgb/2025zfgb/2025d1q/202503/t20250321_635820.html</w:t>
      </w:r>
    </w:p>
    <w:p>
      <w:pPr>
        <w:spacing w:lineRule="exact" w:line="600" w:after="0"/>
        <w:ind w:firstLine="0"/>
      </w:pPr>
      <w:r>
        <w:rPr>
          <w:rFonts w:ascii="仿宋_GB2312" w:hAnsi="仿宋_GB2312" w:eastAsia="仿宋_GB2312"/>
          <w:b w:val="0"/>
          <w:sz w:val="32"/>
        </w:rPr>
        <w:t>2. 入选省特色产业集群，潍坊寿光生物医药生态圈加速集聚（齐鲁网）https://www.ql1d.com/general/24220068.html</w:t>
      </w:r>
    </w:p>
    <w:p>
      <w:pPr>
        <w:spacing w:lineRule="exact" w:line="600" w:after="0"/>
        <w:ind w:firstLine="0"/>
      </w:pPr>
      <w:r>
        <w:rPr>
          <w:rFonts w:ascii="仿宋_GB2312" w:hAnsi="仿宋_GB2312" w:eastAsia="仿宋_GB2312"/>
          <w:b w:val="0"/>
          <w:sz w:val="32"/>
        </w:rPr>
        <w:t>3. 寿光：建圈强链 加速生物医药产业发展（齐鲁网）https://sdxw.iqilu.com/share/YS0yMS0xNTI2NzI4Nw==.html</w:t>
      </w:r>
    </w:p>
    <w:p>
      <w:pPr>
        <w:spacing w:lineRule="exact" w:line="600" w:after="0"/>
        <w:ind w:firstLine="0"/>
      </w:pPr>
      <w:r>
        <w:rPr>
          <w:rFonts w:ascii="仿宋_GB2312" w:hAnsi="仿宋_GB2312" w:eastAsia="仿宋_GB2312"/>
          <w:b w:val="0"/>
          <w:sz w:val="32"/>
        </w:rPr>
        <w:t>4. 新华制药（寿光）有限公司2024年度信息公告 https://www.xhzy.com/XXGK_1/2025-06-17/4269a91a-824a-4826-972a-268019e9eebc.pdf</w:t>
      </w:r>
    </w:p>
    <w:p>
      <w:pPr>
        <w:spacing w:lineRule="exact" w:line="600" w:after="0"/>
        <w:ind w:firstLine="0"/>
      </w:pPr>
      <w:r>
        <w:rPr>
          <w:rFonts w:ascii="仿宋_GB2312" w:hAnsi="仿宋_GB2312" w:eastAsia="仿宋_GB2312"/>
          <w:b w:val="0"/>
          <w:sz w:val="32"/>
        </w:rPr>
        <w:t>5. 山东富康控股集团有限公司（寿光市人民政府）https://www.shouguang.gov.cn/qyfwpt/qyzsyz/zmqy/202002/t20200216_5564084.html</w:t>
      </w:r>
    </w:p>
    <w:p>
      <w:pPr>
        <w:spacing w:lineRule="exact" w:line="600" w:after="0"/>
        <w:ind w:firstLine="0"/>
      </w:pPr>
      <w:r>
        <w:rPr>
          <w:rFonts w:ascii="仿宋_GB2312" w:hAnsi="仿宋_GB2312" w:eastAsia="仿宋_GB2312"/>
          <w:b w:val="0"/>
          <w:sz w:val="32"/>
        </w:rPr>
        <w:t>6. 富康集团的点石成金术（潍坊日报）http://h5.wfrb.wfnews.com.cn/content/20230805/Articel02011MN.htm</w:t>
      </w:r>
    </w:p>
    <w:p>
      <w:pPr>
        <w:spacing w:lineRule="exact" w:line="600" w:after="0"/>
        <w:ind w:firstLine="0"/>
      </w:pPr>
      <w:r>
        <w:rPr>
          <w:rFonts w:ascii="仿宋_GB2312" w:hAnsi="仿宋_GB2312" w:eastAsia="仿宋_GB2312"/>
          <w:b w:val="0"/>
          <w:sz w:val="32"/>
        </w:rPr>
        <w:t>7. 工业之新厚积发展之势（寿光市人民政府）https://www.shouguang.gov.cn/NEWS/zhxw/202407/t20240715_6339796.html</w:t>
      </w:r>
    </w:p>
    <w:p>
      <w:pPr>
        <w:spacing w:lineRule="exact" w:line="600" w:after="0"/>
        <w:ind w:firstLine="0"/>
      </w:pPr>
      <w:r>
        <w:rPr>
          <w:rFonts w:ascii="仿宋_GB2312" w:hAnsi="仿宋_GB2312" w:eastAsia="仿宋_GB2312"/>
          <w:b w:val="0"/>
          <w:sz w:val="32"/>
        </w:rPr>
        <w:t>8. 寿光市工业和信息化局关于园区搭建平台实现产业集聚化发展的提案的答复 https://www.shouguang.gov.cn/zwgk/JXJ/202405/t20240521_628428.htm</w:t>
      </w:r>
    </w:p>
    <w:p>
      <w:pPr>
        <w:spacing w:lineRule="exact" w:line="600" w:after="0"/>
        <w:ind w:firstLine="0"/>
      </w:pPr>
      <w:r>
        <w:rPr>
          <w:rFonts w:ascii="仿宋_GB2312" w:hAnsi="仿宋_GB2312" w:eastAsia="仿宋_GB2312"/>
          <w:b w:val="0"/>
          <w:sz w:val="32"/>
        </w:rPr>
        <w:t>9. 寿光：四向并进引领高质量发展新跃升（潍坊日报）http://h5.wfrb.wfnews.com.cn/content/20241125/Articel01004MN.htm</w:t>
      </w:r>
    </w:p>
    <w:p>
      <w:pPr>
        <w:spacing w:lineRule="exact" w:line="600" w:after="0"/>
        <w:ind w:firstLine="0"/>
      </w:pPr>
      <w:r>
        <w:rPr>
          <w:rFonts w:ascii="仿宋_GB2312" w:hAnsi="仿宋_GB2312" w:eastAsia="仿宋_GB2312"/>
          <w:b w:val="0"/>
          <w:sz w:val="32"/>
        </w:rPr>
        <w:t>10. 中国蔬菜之乡寿光：全产业链汇成掘金新蓝海（中国新闻网）https://m.chinanews.com/wap/detail/cht/zw/9846826.shtml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