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山东临沂费县（绿色家居材料）特色产业集群发展研究报告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临沂费县（绿色家居材料）特色产业集群以木业及绿色家居材料为主导产业，于2021年获评山东省特色产业集群，并同期创建“中国绿色家居材料基地”，是费县经济的重要支柱，其组织形态充分体现了园区化集聚的专业优势与规模效应，相关属性为后续产业扩张与链条延伸奠定了坚实的制度基础，这一基本定位在区域产业体系中具有较强的示范与引领意义，其组织形态充分体现了园区化集聚的专业优势与规模效应。</w:t>
      </w:r>
    </w:p>
    <w:p>
      <w:pPr>
        <w:spacing w:lineRule="exact" w:line="600" w:after="0"/>
        <w:ind w:firstLine="420"/>
      </w:pPr>
      <w:r>
        <w:rPr>
          <w:rFonts w:ascii="仿宋_GB2312" w:hAnsi="仿宋_GB2312" w:eastAsia="仿宋_GB2312"/>
          <w:b w:val="0"/>
          <w:sz w:val="32"/>
        </w:rPr>
        <w:t>费县木业发端于30多年前，临沂市第一家纤维板厂便诞生于此，历经多年积淀形成旋皮、板材、家具等链条齐全、配套完善的产业体系，先后获评国家火炬木基复合材料特色产业基地、国家林产工业科技示范园区，其组织形态充分体现了园区化集聚的专业优势与规模效应，相关属性为后续产业扩张与链条延伸奠定了坚实的制度基础，这一基本定位在区域产业体系中具有较强的示范与引领意义。</w:t>
      </w:r>
    </w:p>
    <w:p>
      <w:pPr>
        <w:spacing w:lineRule="exact" w:line="600" w:after="0"/>
        <w:ind w:firstLine="420"/>
      </w:pPr>
      <w:r>
        <w:rPr>
          <w:rFonts w:ascii="仿宋_GB2312" w:hAnsi="仿宋_GB2312" w:eastAsia="仿宋_GB2312"/>
          <w:b w:val="0"/>
          <w:sz w:val="32"/>
        </w:rPr>
        <w:t>从区域属性看，集群地处沂蒙山区腹地，以探沂镇为核心阵地，毗邻临沂“中国市场名城”“中国物流之都”，是典型的“生产一张绿色板、智造一个健康家”的县域特色产业集群，其组织形态充分体现了园区化集聚的专业优势与规模效应，相关属性为后续产业扩张与链条延伸奠定了坚实的制度基础，这一基本定位在区域产业体系中具有较强的示范与引领意义，其组织形态充分体现了园区化集聚的专业优势与规模效应。</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费县政府公开数据，全县现有规模以上木业企业538家，直接从业人员约20万人；2021年规上木业企业完成产值300亿元、增长20%，全行业实现税收24.2亿元、增长43.4%，上述规模指标在省内同类特色产业集群中居于较为领先的位次，经济总量持续扩张反映出集群较强的内在成长动能与韧性，体量优势为产业链延伸与配套集聚提供了坚实的市场需求支撑。</w:t>
      </w:r>
    </w:p>
    <w:p>
      <w:pPr>
        <w:spacing w:lineRule="exact" w:line="600" w:after="0"/>
        <w:ind w:firstLine="420"/>
      </w:pPr>
      <w:r>
        <w:rPr>
          <w:rFonts w:ascii="仿宋_GB2312" w:hAnsi="仿宋_GB2312" w:eastAsia="仿宋_GB2312"/>
          <w:b w:val="0"/>
          <w:sz w:val="32"/>
        </w:rPr>
        <w:t>木业税收占全县税收的48.5%、工业税收的65.6%，是县域财源的第一支柱；2021年全县完成地区生产总值469.7亿元、增长8.3%，木业对稳增长与稳就业贡献突出，上述规模指标在省内同类特色产业集群中居于较为领先的位次，经济总量持续扩张反映出集群较强的内在成长动能与韧性，体量优势为产业链延伸与配套集聚提供了坚实的市场需求支撑。</w:t>
      </w:r>
    </w:p>
    <w:p>
      <w:pPr>
        <w:spacing w:lineRule="exact" w:line="600" w:after="0"/>
        <w:ind w:firstLine="420"/>
      </w:pPr>
      <w:r>
        <w:rPr>
          <w:rFonts w:ascii="仿宋_GB2312" w:hAnsi="仿宋_GB2312" w:eastAsia="仿宋_GB2312"/>
          <w:b w:val="0"/>
          <w:sz w:val="32"/>
        </w:rPr>
        <w:t>据不完全统计，全县木业各类市场主体达6500余家，形成从旋皮、板材到家具制造的庞大产业大军，产业总量与集聚规模在北方木业版图中居于领先地位，上述规模指标在省内同类特色产业集群中居于较为领先的位次，经济总量持续扩张反映出集群较强的内在成长动能与韧性，体量优势为产业链延伸与配套集聚提供了坚实的市场需求支撑，上述规模指标在省内同类特色产业集群中居于较为领先的位次。</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家居基材、绿色家居制造与家居商贸及定制服务三大方向，产品由传统板材向全屋定制、智能家具、环保装饰材料升级，绿色化与终端化趋势明显，主导产业的选择契合区域资源禀赋与终端市场需求双重导向，产品结构层次分明有利于抵御外部市场波动与周期风险，优势领域的集聚显著提升了集群的整体竞争位势与辨识度，主导产业的选择契合区域资源禀赋与终端市场需求双重导向。</w:t>
      </w:r>
    </w:p>
    <w:p>
      <w:pPr>
        <w:spacing w:lineRule="exact" w:line="600" w:after="0"/>
        <w:ind w:firstLine="420"/>
      </w:pPr>
      <w:r>
        <w:rPr>
          <w:rFonts w:ascii="仿宋_GB2312" w:hAnsi="仿宋_GB2312" w:eastAsia="仿宋_GB2312"/>
          <w:b w:val="0"/>
          <w:sz w:val="32"/>
        </w:rPr>
        <w:t>在基材环节，旋皮、纤维板、胶合板等基础产能雄厚；在制造环节，安信美家、泰森日盛、云峰莫干山等引领全屋定制与智能家居；在商贸环节，探沂镇构建展销与物流中心，主导产业的选择契合区域资源禀赋与终端市场需求双重导向，产品结构层次分明有利于抵御外部市场波动与周期风险，优势领域的集聚显著提升了集群的整体竞争位势与辨识度，主导产业的选择契合区域资源禀赋与终端市场需求双重导向。</w:t>
      </w:r>
    </w:p>
    <w:p>
      <w:pPr>
        <w:spacing w:lineRule="exact" w:line="600" w:after="0"/>
        <w:ind w:firstLine="420"/>
      </w:pPr>
      <w:r>
        <w:rPr>
          <w:rFonts w:ascii="仿宋_GB2312" w:hAnsi="仿宋_GB2312" w:eastAsia="仿宋_GB2312"/>
          <w:b w:val="0"/>
          <w:sz w:val="32"/>
        </w:rPr>
        <w:t>主导产业的演进路径清晰：由工业半成品输出向终端制成品销售转型，由粗放板材向“高品质、高附加值”绿色家居跃升，契合消费升级与装配式建筑的市场方向，主导产业的选择契合区域资源禀赋与终端市场需求双重导向，产品结构层次分明有利于抵御外部市场波动与周期风险，优势领域的集聚显著提升了集群的整体竞争位势与辨识度，主导产业的选择契合区域资源禀赋与终端市场需求双重导向。</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较为完整，已构建起旋皮—板材—家居基材—定制家具—装饰配套—商贸物流的全链条体系，本地配套能力强，是北方少有的全链路木业产业集群，链条闭合度较高增强了集群的内生配套与自我循环能力，本地化配套显著降低了企业间的物流成本与协同交易成本，相对完整的链条是集群抗冲击能力的重要结构性来源，链条闭合度较高增强了集群的内生配套与自我循环能力。</w:t>
      </w:r>
    </w:p>
    <w:p>
      <w:pPr>
        <w:spacing w:lineRule="exact" w:line="600" w:after="0"/>
        <w:ind w:firstLine="420"/>
      </w:pPr>
      <w:r>
        <w:rPr>
          <w:rFonts w:ascii="仿宋_GB2312" w:hAnsi="仿宋_GB2312" w:eastAsia="仿宋_GB2312"/>
          <w:b w:val="0"/>
          <w:sz w:val="32"/>
        </w:rPr>
        <w:t>上游旋皮与板材基础雄厚，中游家居制造向智能化升级，下游依托临沂商贸物流优势形成展销与集散网络，并配套粘合剂化工产业园，链条闭合度与协同度同步提升，链条闭合度较高增强了集群的内生配套与自我循环能力，本地化配套显著降低了企业间的物流成本与协同交易成本，相对完整的链条是集群抗冲击能力的重要结构性来源，链条闭合度较高增强了集群的内生配套与自我循环能力。</w:t>
      </w:r>
    </w:p>
    <w:p>
      <w:pPr>
        <w:spacing w:lineRule="exact" w:line="600" w:after="0"/>
        <w:ind w:firstLine="420"/>
      </w:pPr>
      <w:r>
        <w:rPr>
          <w:rFonts w:ascii="仿宋_GB2312" w:hAnsi="仿宋_GB2312" w:eastAsia="仿宋_GB2312"/>
          <w:b w:val="0"/>
          <w:sz w:val="32"/>
        </w:rPr>
        <w:t>总体看，集群产业链完整性较强，但部分高端饰面、功能五金与工业软件仍依赖外购，需通过补链进一步筑牢自主可控的供应体系，提升整体抗风险能力，链条闭合度较高增强了集群的内生配套与自我循环能力，本地化配套显著降低了企业间的物流成本与协同交易成本，相对完整的链条是集群抗冲击能力的重要结构性来源，链条闭合度较高增强了集群的内生配套与自我循环能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短板看，集群历史上存在产品档次偏低、企业“量大势弱”、小散乱企业较多等问题，高端定制与品牌终端占比仍有提升空间，研发设计与工业软件环节相对薄弱，补齐上述短板应成为下一阶段强链固链工作的重点方向，关键环节对外依赖需通过联合攻关与招商引才逐步化解，短板环节制约了集群整体向更高价值区间稳步攀升，补齐上述短板应成为下一阶段强链固链工作的重点方向。</w:t>
      </w:r>
    </w:p>
    <w:p>
      <w:pPr>
        <w:spacing w:lineRule="exact" w:line="600" w:after="0"/>
        <w:ind w:firstLine="420"/>
      </w:pPr>
      <w:r>
        <w:rPr>
          <w:rFonts w:ascii="仿宋_GB2312" w:hAnsi="仿宋_GB2312" w:eastAsia="仿宋_GB2312"/>
          <w:b w:val="0"/>
          <w:sz w:val="32"/>
        </w:rPr>
        <w:t>此外，原胶粘剂环节曾面临甲醛与污染隐患，经整合进入专业园区后明显改善，但绿色胶黏、无醛板材等前沿材料的自主供给能力仍需加强，以应对环保标准趋严，补齐上述短板应成为下一阶段强链固链工作的重点方向，关键环节对外依赖需通过联合攻关与招商引才逐步化解，短板环节制约了集群整体向更高价值区间稳步攀升，补齐上述短板应成为下一阶段强链固链工作的重点方向。</w:t>
      </w:r>
    </w:p>
    <w:p>
      <w:pPr>
        <w:spacing w:lineRule="exact" w:line="600" w:after="0"/>
        <w:ind w:firstLine="420"/>
      </w:pPr>
      <w:r>
        <w:rPr>
          <w:rFonts w:ascii="仿宋_GB2312" w:hAnsi="仿宋_GB2312" w:eastAsia="仿宋_GB2312"/>
          <w:b w:val="0"/>
          <w:sz w:val="32"/>
        </w:rPr>
        <w:t>补齐上述短板应成为下一阶段强链固链工作的重点方向，关键环节对外依赖需通过联合攻关与招商引才逐步化解，短板环节制约了集群整体向更高价值区间稳步攀升，补齐上述短板应成为下一阶段强链固链工作的重点方向，关键环节对外依赖需通过联合攻关与招商引才逐步化解，短板环节制约了集群整体向更高价值区间稳步攀升，补齐上述短板应成为下一阶段强链固链工作的重点方向。</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整体处于由中低端板材向绿色家居高价值环节攀升的关键阶段。传统胶合板、刨花板单位产值有限，而全屋定制、智能制造产品溢价显著提升，价值位势的抬升有赖于核心环节技术的持续突破与沉淀，向研发与品牌两端延伸是优化价值分配格局的关键路径，龙头企业的引领有助于带动配套企业整体价值水平上行，价值位势的抬升有赖于核心环节技术的持续突破与沉淀。</w:t>
      </w:r>
    </w:p>
    <w:p>
      <w:pPr>
        <w:spacing w:lineRule="exact" w:line="600" w:after="0"/>
        <w:ind w:firstLine="420"/>
      </w:pPr>
      <w:r>
        <w:rPr>
          <w:rFonts w:ascii="仿宋_GB2312" w:hAnsi="仿宋_GB2312" w:eastAsia="仿宋_GB2312"/>
          <w:b w:val="0"/>
          <w:sz w:val="32"/>
        </w:rPr>
        <w:t>泰森日盛、云峰莫干山等头部企业已实现从半成品到终端定制家居的跨越，单位价值与品牌力上行；但广大中小企业仍集中在基材加工，价值链“微笑曲线”两端偏弱，价值位势的抬升有赖于核心环节技术的持续突破与沉淀，向研发与品牌两端延伸是优化价值分配格局的关键路径，龙头企业的引领有助于带动配套企业整体价值水平上行，价值位势的抬升有赖于核心环节技术的持续突破与沉淀。</w:t>
      </w:r>
    </w:p>
    <w:p>
      <w:pPr>
        <w:spacing w:lineRule="exact" w:line="600" w:after="0"/>
        <w:ind w:firstLine="420"/>
      </w:pPr>
      <w:r>
        <w:rPr>
          <w:rFonts w:ascii="仿宋_GB2312" w:hAnsi="仿宋_GB2312" w:eastAsia="仿宋_GB2312"/>
          <w:b w:val="0"/>
          <w:sz w:val="32"/>
        </w:rPr>
        <w:t>价值位势的抬升有赖于核心环节技术的持续突破与沉淀，向研发与品牌两端延伸是优化价值分配格局的关键路径，龙头企业的引领有助于带动配套企业整体价值水平上行，价值位势的抬升有赖于核心环节技术的持续突破与沉淀，向研发与品牌两端延伸是优化价值分配格局的关键路径，龙头企业的引领有助于带动配套企业整体价值水平上行，价值位势的抬升有赖于核心环节技术的持续突破与沉淀。</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企业+配套中小企业+作坊式旋皮”的分工格局：头部企业主攻研发、品牌与定制；大量中小企业与个体户承担基材、饰面与封边等配套加工，清晰的分工格局提高了区域产业组织的整体运行效率，错位发展有效避免了企业间的同质化内耗与低价竞争，紧密的分工协作网络增强了企业间的黏性与系统韧性，清晰的分工格局提高了区域产业组织的整体运行效率。</w:t>
      </w:r>
    </w:p>
    <w:p>
      <w:pPr>
        <w:spacing w:lineRule="exact" w:line="600" w:after="0"/>
        <w:ind w:firstLine="420"/>
      </w:pPr>
      <w:r>
        <w:rPr>
          <w:rFonts w:ascii="仿宋_GB2312" w:hAnsi="仿宋_GB2312" w:eastAsia="仿宋_GB2312"/>
          <w:b w:val="0"/>
          <w:sz w:val="32"/>
        </w:rPr>
        <w:t>在空间上，探沂镇集聚定制家居、木业转型、粘合剂化工等园区，城西木业产业园规划高档板材、装饰纸及地板、木门等项目，形成东西呼应、功能互补的分工布局，清晰的分工格局提高了区域产业组织的整体运行效率，错位发展有效避免了企业间的同质化内耗与低价竞争，紧密的分工协作网络增强了企业间的黏性与系统韧性，清晰的分工格局提高了区域产业组织的整体运行效率。</w:t>
      </w:r>
    </w:p>
    <w:p>
      <w:pPr>
        <w:spacing w:lineRule="exact" w:line="600" w:after="0"/>
        <w:ind w:firstLine="420"/>
      </w:pPr>
      <w:r>
        <w:rPr>
          <w:rFonts w:ascii="仿宋_GB2312" w:hAnsi="仿宋_GB2312" w:eastAsia="仿宋_GB2312"/>
          <w:b w:val="0"/>
          <w:sz w:val="32"/>
        </w:rPr>
        <w:t>清晰的分工格局提高了区域产业组织的整体运行效率，错位发展有效避免了企业间的同质化内耗与低价竞争，紧密的分工协作网络增强了企业间的黏性与系统韧性，清晰的分工格局提高了区域产业组织的整体运行效率，错位发展有效避免了企业间的同质化内耗与低价竞争，紧密的分工协作网络增强了企业间的黏性与系统韧性，清晰的分工格局提高了区域产业组织的整体运行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结构：规上木业企业538家构成中坚，数以千计的中小企业与个体旋皮户构成底座，泰森日盛等少数骨干企业产值与纳税领先，合理的梯度结构有利于创新生态的多样性与可持续性，金字塔型布局增强了产业系统在外部冲击下的稳定性，培育中间梯队企业是优化规模结构的重要现实抓手，合理的梯度结构有利于创新生态的多样性与可持续性，金字塔型布局增强了产业系统在外部冲击下的稳定性。</w:t>
      </w:r>
    </w:p>
    <w:p>
      <w:pPr>
        <w:spacing w:lineRule="exact" w:line="600" w:after="0"/>
        <w:ind w:firstLine="420"/>
      </w:pPr>
      <w:r>
        <w:rPr>
          <w:rFonts w:ascii="仿宋_GB2312" w:hAnsi="仿宋_GB2312" w:eastAsia="仿宋_GB2312"/>
          <w:b w:val="0"/>
          <w:sz w:val="32"/>
        </w:rPr>
        <w:t>2021年全县纳税过亿元工业企业达6家，其中泰森日盛成为全市首家税收过亿元的木业企业；产值过亿元企业78家，头部企业对产业拉动作用显著，合理的梯度结构有利于创新生态的多样性与可持续性，金字塔型布局增强了产业系统在外部冲击下的稳定性，培育中间梯队企业是优化规模结构的重要现实抓手，合理的梯度结构有利于创新生态的多样性与可持续性，金字塔型布局增强了产业系统在外部冲击下的稳定性。</w:t>
      </w:r>
    </w:p>
    <w:p>
      <w:pPr>
        <w:spacing w:lineRule="exact" w:line="600" w:after="0"/>
        <w:ind w:firstLine="420"/>
      </w:pPr>
      <w:r>
        <w:rPr>
          <w:rFonts w:ascii="仿宋_GB2312" w:hAnsi="仿宋_GB2312" w:eastAsia="仿宋_GB2312"/>
          <w:b w:val="0"/>
          <w:sz w:val="32"/>
        </w:rPr>
        <w:t>合理的梯度结构有利于创新生态的多样性与可持续性，金字塔型布局增强了产业系统在外部冲击下的稳定性，培育中间梯队企业是优化规模结构的重要现实抓手，合理的梯度结构有利于创新生态的多样性与可持续性，金字塔型布局增强了产业系统在外部冲击下的稳定性，培育中间梯队企业是优化规模结构的重要现实抓手，合理的梯度结构有利于创新生态的多样性与可持续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资本为主体，同时存在国企混改与多元合作新模式。泰森日盛开创“国企+民企+央企”合作，成为全市首家“国企+民企”木业混改企业，实现优势互补，多元产权主体激发了集群微观主体的投资与创新活力，内外资协同带来了技术溢出与管理经验借鉴双重效应，富有活力的产权结构是集群持续创新的重要制度基础，多元产权主体激发了集群微观主体的投资与创新活力。</w:t>
      </w:r>
    </w:p>
    <w:p>
      <w:pPr>
        <w:spacing w:lineRule="exact" w:line="600" w:after="0"/>
        <w:ind w:firstLine="420"/>
      </w:pPr>
      <w:r>
        <w:rPr>
          <w:rFonts w:ascii="仿宋_GB2312" w:hAnsi="仿宋_GB2312" w:eastAsia="仿宋_GB2312"/>
          <w:b w:val="0"/>
          <w:sz w:val="32"/>
        </w:rPr>
        <w:t>在招引端，莫干山、TATA木门、千年舟等全国知名品牌以项目落户方式进入，形成本土龙头与外埠品牌同台竞争的多元产权格局，激发了产业活力，多元产权主体激发了集群微观主体的投资与创新活力，内外资协同带来了技术溢出与管理经验借鉴双重效应，富有活力的产权结构是集群持续创新的重要制度基础，多元产权主体激发了集群微观主体的投资与创新活力，内外资协同带来了技术溢出与管理经验借鉴双重效应。</w:t>
      </w:r>
    </w:p>
    <w:p>
      <w:pPr>
        <w:spacing w:lineRule="exact" w:line="600" w:after="0"/>
        <w:ind w:firstLine="420"/>
      </w:pPr>
      <w:r>
        <w:rPr>
          <w:rFonts w:ascii="仿宋_GB2312" w:hAnsi="仿宋_GB2312" w:eastAsia="仿宋_GB2312"/>
          <w:b w:val="0"/>
          <w:sz w:val="32"/>
        </w:rPr>
        <w:t>混合所有制改革为传统木业注入了规范治理与资本动能，多元产权结构有利于资源整合与机制创新，但也对国资监管与民企活力的平衡提出了治理新要求，多元产权主体激发了集群微观主体的投资与创新活力，内外资协同带来了技术溢出与管理经验借鉴双重效应，富有活力的产权结构是集群持续创新的重要制度基础，多元产权主体激发了集群微观主体的投资与创新活力，内外资协同带来了技术溢出与管理经验借鉴双重效应。</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包括泰森日盛集团、山东云峰莫干山家居、安信美家、TATA木门、千年舟、佳饰家、昶兴智能科技等，覆盖定制家居、智能家具与装饰材料各环节，头部企业的集聚强化了技术溢出与订单带动的乘数效应，链主企业的引领有力带动了配套企业协同升级与成长，龙头实力从根本上奠定了集群参与竞争的产业根基，头部企业的集聚强化了技术溢出与订单带动的乘数效应。</w:t>
      </w:r>
    </w:p>
    <w:p>
      <w:pPr>
        <w:spacing w:lineRule="exact" w:line="600" w:after="0"/>
        <w:ind w:firstLine="420"/>
      </w:pPr>
      <w:r>
        <w:rPr>
          <w:rFonts w:ascii="仿宋_GB2312" w:hAnsi="仿宋_GB2312" w:eastAsia="仿宋_GB2312"/>
          <w:b w:val="0"/>
          <w:sz w:val="32"/>
        </w:rPr>
        <w:t>泰森日盛为工业4.0标杆，已与国内30多家百强房地产企业合作，木门产能达每周1.2万套；云峰莫干山全屋定制项目全部投产后可年产智能家居30万套，转型成效突出，头部企业的集聚强化了技术溢出与订单带动的乘数效应，链主企业的引领有力带动了配套企业协同升级与成长，龙头实力从根本上奠定了集群参与竞争的产业根基，头部企业的集聚强化了技术溢出与订单带动的乘数效应。</w:t>
      </w:r>
    </w:p>
    <w:p>
      <w:pPr>
        <w:spacing w:lineRule="exact" w:line="600" w:after="0"/>
        <w:ind w:firstLine="420"/>
      </w:pPr>
      <w:r>
        <w:rPr>
          <w:rFonts w:ascii="仿宋_GB2312" w:hAnsi="仿宋_GB2312" w:eastAsia="仿宋_GB2312"/>
          <w:b w:val="0"/>
          <w:sz w:val="32"/>
        </w:rPr>
        <w:t>头部企业普遍推进“设计+制造+服务”一体化，朝泰实业等配套“单项冠军”日产封边条600万米、产品远销俄南非等十余国，共同构筑了集群的品牌与技术高地，头部企业的集聚强化了技术溢出与订单带动的乘数效应，链主企业的引领有力带动了配套企业协同升级与成长，龙头实力从根本上奠定了集群参与竞争的产业根基，头部企业的集聚强化了技术溢出与订单带动的乘数效应。</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高度园区化集聚特征。以探沂镇为核心，规划定制家居、木业转型、粘合剂化工“三大园区”及占地5500亩的城西木业产业园，已落地项目52个以上，有机集聚已超越简单的地理邻近迈向深度协作新阶段，较短的配套半径显著提升了企业响应的速度与灵敏度，集聚质量的高低直接决定了集群整体能级的上限，有机集聚已超越简单的地理邻近迈向深度协作新阶段。</w:t>
      </w:r>
    </w:p>
    <w:p>
      <w:pPr>
        <w:spacing w:lineRule="exact" w:line="600" w:after="0"/>
        <w:ind w:firstLine="420"/>
      </w:pPr>
      <w:r>
        <w:rPr>
          <w:rFonts w:ascii="仿宋_GB2312" w:hAnsi="仿宋_GB2312" w:eastAsia="仿宋_GB2312"/>
          <w:b w:val="0"/>
          <w:sz w:val="32"/>
        </w:rPr>
        <w:t>探沂镇高标准建设产品加工、定制家居、总部经济、粘合剂化工与智慧物流“五大园区”，全面建成后年产值有望突破500亿元、税收30亿元，目前已落地项目61个，有机集聚已超越简单的地理邻近迈向深度协作新阶段，较短的配套半径显著提升了企业响应的速度与灵敏度，集聚质量的高低直接决定了集群整体能级的上限，有机集聚已超越简单的地理邻近迈向深度协作新阶段。</w:t>
      </w:r>
    </w:p>
    <w:p>
      <w:pPr>
        <w:spacing w:lineRule="exact" w:line="600" w:after="0"/>
        <w:ind w:firstLine="420"/>
      </w:pPr>
      <w:r>
        <w:rPr>
          <w:rFonts w:ascii="仿宋_GB2312" w:hAnsi="仿宋_GB2312" w:eastAsia="仿宋_GB2312"/>
          <w:b w:val="0"/>
          <w:sz w:val="32"/>
        </w:rPr>
        <w:t>从集聚形态看，“政府+园区+国企+协会”模式推动企业由分散到集聚，腾笼换鸟拆除小散乱企业800余家、腾地5000余亩，以园区载体显著增强了产业组织密度与协同效率，有机集聚已超越简单的地理邻近迈向深度协作新阶段，较短的配套半径显著提升了企业响应的速度与灵敏度，集聚质量的高低直接决定了集群整体能级的上限，有机集聚已超越简单的地理邻近迈向深度协作新阶段。</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持续加大。县级财政每年安排1000万元木业产学研专项资金，2021年以来开展深度产学研合作项目12项；设立1亿元工业发展扶持专项资金与2000万元技改奖补，稳定的研发投入是创新产出源源不断的根本物质保障，领先的研发强度有力支撑了关键核心技术的持续突破，投入结构优化需进一步向中小企业与创新早期环节倾斜，稳定的研发投入是创新产出源源不断的根本物质保障。</w:t>
      </w:r>
    </w:p>
    <w:p>
      <w:pPr>
        <w:spacing w:lineRule="exact" w:line="600" w:after="0"/>
        <w:ind w:firstLine="420"/>
      </w:pPr>
      <w:r>
        <w:rPr>
          <w:rFonts w:ascii="仿宋_GB2312" w:hAnsi="仿宋_GB2312" w:eastAsia="仿宋_GB2312"/>
          <w:b w:val="0"/>
          <w:sz w:val="32"/>
        </w:rPr>
        <w:t>企业层面，泰森日盛等头部企业建设智能智造项目与研发机构，推动“设计+”产业链；政府引导依托青岛理工大学、临沂大学及知名林业院校探索“1+2+N”协同创新模式，稳定的研发投入是创新产出源源不断的根本物质保障，领先的研发强度有力支撑了关键核心技术的持续突破，投入结构优化需进一步向中小企业与创新早期环节倾斜，稳定的研发投入是创新产出源源不断的根本物质保障。</w:t>
      </w:r>
    </w:p>
    <w:p>
      <w:pPr>
        <w:spacing w:lineRule="exact" w:line="600" w:after="0"/>
        <w:ind w:firstLine="420"/>
      </w:pPr>
      <w:r>
        <w:rPr>
          <w:rFonts w:ascii="仿宋_GB2312" w:hAnsi="仿宋_GB2312" w:eastAsia="仿宋_GB2312"/>
          <w:b w:val="0"/>
          <w:sz w:val="32"/>
        </w:rPr>
        <w:t>需重点关注中小企业研发投入相对不足，应通过公共平台与产学研联合体把龙头技术外溢到广大配套企业，整体抬升集群的标准化与绿色制造创新能力，稳定的研发投入是创新产出源源不断的根本物质保障，领先的研发强度有力支撑了关键核心技术的持续突破，投入结构优化需进一步向中小企业与创新早期环节倾斜，稳定的研发投入是创新产出源源不断的根本物质保障，领先的研发强度有力支撑了关键核心技术的持续突破。</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稳步显现，目前共有39家木业及配套企业被认定为高新技术企业，2022年有35家企业纳入国家科技型中小企业库，创新主体梯队不断壮大，丰硕的成果彰显了集群旺盛的技术创新活力与能力，标准与专利的有序布局增强了集群在行业中的话语权，产出结构仍有向高端整机与核心部件攀升的明显空间，丰硕的成果彰显了集群旺盛的技术创新活力与能力。</w:t>
      </w:r>
    </w:p>
    <w:p>
      <w:pPr>
        <w:spacing w:lineRule="exact" w:line="600" w:after="0"/>
        <w:ind w:firstLine="420"/>
      </w:pPr>
      <w:r>
        <w:rPr>
          <w:rFonts w:ascii="仿宋_GB2312" w:hAnsi="仿宋_GB2312" w:eastAsia="仿宋_GB2312"/>
          <w:b w:val="0"/>
          <w:sz w:val="32"/>
        </w:rPr>
        <w:t>在产品端，无醛板材、智能制造家居、环保饰面等新产品不断涌现；泰森日盛工业4.0车间实现生产效率提高25%以上、运营成本降低22%、单位产值能耗降低10%，丰硕的成果彰显了集群旺盛的技术创新活力与能力，标准与专利的有序布局增强了集群在行业中的话语权，产出结构仍有向高端整机与核心部件攀升的明显空间，丰硕的成果彰显了集群旺盛的技术创新活力与能力。</w:t>
      </w:r>
    </w:p>
    <w:p>
      <w:pPr>
        <w:spacing w:lineRule="exact" w:line="600" w:after="0"/>
        <w:ind w:firstLine="420"/>
      </w:pPr>
      <w:r>
        <w:rPr>
          <w:rFonts w:ascii="仿宋_GB2312" w:hAnsi="仿宋_GB2312" w:eastAsia="仿宋_GB2312"/>
          <w:b w:val="0"/>
          <w:sz w:val="32"/>
        </w:rPr>
        <w:t>从创新产出结构看，绿色化与智能化是主线，但原创性技术与核心装备仍部分依赖外部，需以更高强度的研发把“制造成果”沉淀为可持续的“技术资产”，丰硕的成果彰显了集群旺盛的技术创新活力与能力，标准与专利的有序布局增强了集群在行业中的话语权，产出结构仍有向高端整机与核心部件攀升的明显空间，丰硕的成果彰显了集群旺盛的技术创新活力与能力，标准与专利的有序布局增强了集群在行业中的话语权。</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搭建多层次创新平台，共建市级木业产业科技平台11个，组建县人才发展集团与费县木业产业研究院，并依托本地高校分校（在校生约1.2万人）提供人才与智力支撑，高端平台是集聚与配置创新资源的核载体与枢纽，平台的开放共享显著降低了中小企业早期创新的门槛，完整的载体链条有效提升了成果中试与转化效率，高端平台是集聚与配置创新资源的核载体与枢纽。</w:t>
      </w:r>
    </w:p>
    <w:p>
      <w:pPr>
        <w:spacing w:lineRule="exact" w:line="600" w:after="0"/>
        <w:ind w:firstLine="420"/>
      </w:pPr>
      <w:r>
        <w:rPr>
          <w:rFonts w:ascii="仿宋_GB2312" w:hAnsi="仿宋_GB2312" w:eastAsia="仿宋_GB2312"/>
          <w:b w:val="0"/>
          <w:sz w:val="32"/>
        </w:rPr>
        <w:t>在产业服务上，“木业之窗”综合展示平台（1万平方米）为企业提供展示与对接服务；粘合剂化工园区、定制家居园区则成为技术集成与中试转化的实体载体，高端平台是集聚与配置创新资源的核载体与枢纽，平台的开放共享显著降低了中小企业早期创新的门槛，完整的载体链条有效提升了成果中试与转化效率，高端平台是集聚与配置创新资源的核载体与枢纽，平台的开放共享显著降低了中小企业早期创新的门槛。</w:t>
      </w:r>
    </w:p>
    <w:p>
      <w:pPr>
        <w:spacing w:lineRule="exact" w:line="600" w:after="0"/>
        <w:ind w:firstLine="420"/>
      </w:pPr>
      <w:r>
        <w:rPr>
          <w:rFonts w:ascii="仿宋_GB2312" w:hAnsi="仿宋_GB2312" w:eastAsia="仿宋_GB2312"/>
          <w:b w:val="0"/>
          <w:sz w:val="32"/>
        </w:rPr>
        <w:t>平台体系的完善显著提升了集群协同创新效率，但平台间资源互通与面向中小企业的“最后一公里”服务仍须加强，方能把平台优势转化为可感可及的创新红利，高端平台是集聚与配置创新资源的核载体与枢纽，平台的开放共享显著降低了中小企业早期创新的门槛，完整的载体链条有效提升了成果中试与转化效率，高端平台是集聚与配置创新资源的核载体与枢纽，平台的开放共享显著降低了中小企业早期创新的门槛。</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成效明显，泰森日盛从原材料到家居成品板件生产周期仅需约3分钟，AGV与机械臂实现拆单、仓储、生产全流程智能化，树立了行业智造标杆，顺畅的转化通道加速了创新成果从实验室走向市场，产学研深度协同是打通转化堵点的关键现实路径，健全中试与注册服务是提升转化效率的重要着力点，顺畅的转化通道加速了创新成果从实验室走向市场，产学研深度协同是打通转化堵点的关键现实路径。</w:t>
      </w:r>
    </w:p>
    <w:p>
      <w:pPr>
        <w:spacing w:lineRule="exact" w:line="600" w:after="0"/>
        <w:ind w:firstLine="420"/>
      </w:pPr>
      <w:r>
        <w:rPr>
          <w:rFonts w:ascii="仿宋_GB2312" w:hAnsi="仿宋_GB2312" w:eastAsia="仿宋_GB2312"/>
          <w:b w:val="0"/>
          <w:sz w:val="32"/>
        </w:rPr>
        <w:t>在绿色转化方面，联亿新能源将烟气余热回收，年外供蒸汽100万吨、发电8000万度，把粘合剂化工的能源利用最大化，体现了循环制造的技术落地能力，顺畅的转化通道加速了创新成果从实验室走向市场，产学研深度协同是打通转化堵点的关键现实路径，健全中试与注册服务是提升转化效率的重要着力点，顺畅的转化通道加速了创新成果从实验室走向市场，产学研深度协同是打通转化堵点的关键现实路径。</w:t>
      </w:r>
    </w:p>
    <w:p>
      <w:pPr>
        <w:spacing w:lineRule="exact" w:line="600" w:after="0"/>
        <w:ind w:firstLine="420"/>
      </w:pPr>
      <w:r>
        <w:rPr>
          <w:rFonts w:ascii="仿宋_GB2312" w:hAnsi="仿宋_GB2312" w:eastAsia="仿宋_GB2312"/>
          <w:b w:val="0"/>
          <w:sz w:val="32"/>
        </w:rPr>
        <w:t>技术转化的关键在供需对接，需进一步强化“企业出题、院所答题、市场阅卷”的机制，让更多绿色智能工艺从生产线走向市场，转化为真实的效率与环保效益，顺畅的转化通道加速了创新成果从实验室走向市场，产学研深度协同是打通转化堵点的关键现实路径，健全中试与注册服务是提升转化效率的重要着力点，顺畅的转化通道加速了创新成果从实验室走向市场，产学研深度协同是打通转化堵点的关键现实路径。</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充裕，木业直接从业人员约20万人，逐步培育出经验丰富、能力突出的管理技术与产业工人队伍，从事木业加工人员近20万人，人力根基扎实，现有人力供给基本匹配了产业集群当前的发展需要，技能结构的升级须与产线智能化改造同步推进落实，高端复合型人才的引育仍是需要正视的关键短板，现有人力供给基本匹配了产业集群当前的发展需要，技能结构的升级须与产线智能化改造同步推进落实。</w:t>
      </w:r>
    </w:p>
    <w:p>
      <w:pPr>
        <w:spacing w:lineRule="exact" w:line="600" w:after="0"/>
        <w:ind w:firstLine="420"/>
      </w:pPr>
      <w:r>
        <w:rPr>
          <w:rFonts w:ascii="仿宋_GB2312" w:hAnsi="仿宋_GB2312" w:eastAsia="仿宋_GB2312"/>
          <w:b w:val="0"/>
          <w:sz w:val="32"/>
        </w:rPr>
        <w:t>青岛理工大学、临沂大学在费县设立分校，在校生约1.2万人，各类人才储备充足；同时依托县人才发展集团引育产业急需的设计、智造与外贸人才，现有人力供给基本匹配了产业集群当前的发展需要，技能结构的升级须与产线智能化改造同步推进落实，高端复合型人才的引育仍是需要正视的关键短板，现有人力供给基本匹配了产业集群当前的发展需要，技能结构的升级须与产线智能化改造同步推进落实。</w:t>
      </w:r>
    </w:p>
    <w:p>
      <w:pPr>
        <w:spacing w:lineRule="exact" w:line="600" w:after="0"/>
        <w:ind w:firstLine="420"/>
      </w:pPr>
      <w:r>
        <w:rPr>
          <w:rFonts w:ascii="仿宋_GB2312" w:hAnsi="仿宋_GB2312" w:eastAsia="仿宋_GB2312"/>
          <w:b w:val="0"/>
          <w:sz w:val="32"/>
        </w:rPr>
        <w:t>需重点关注劳动力技能结构与智能化转型的适配，应通过产教融合与技能培训，把传统木工优势转化为数字工匠红利，稳固产业人力资本基本盘，现有人力供给基本匹配了产业集群当前的发展需要，技能结构的升级须与产线智能化改造同步推进落实，高端复合型人才的引育仍是需要正视的关键短板，现有人力供给基本匹配了产业集群当前的发展需要，技能结构的升级须与产线智能化改造同步推进落实。</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政府引导与市场化融资相结合。设立1亿元工业发展扶持专项资金、2000万元技改奖补资金，引导金融机构为木业新增专项贷款20亿元，多元的资本供给有力支撑了集群的快速扩张与迭代，中小企业的融资困境仍待政策工具实施精准滴灌，资本配置效率的高低直接影响集群创新的节奏，多元的资本供给有力支撑了集群的快速扩张与迭代，中小企业的融资困境仍待政策工具实施精准滴灌。</w:t>
      </w:r>
    </w:p>
    <w:p>
      <w:pPr>
        <w:spacing w:lineRule="exact" w:line="600" w:after="0"/>
        <w:ind w:firstLine="420"/>
      </w:pPr>
      <w:r>
        <w:rPr>
          <w:rFonts w:ascii="仿宋_GB2312" w:hAnsi="仿宋_GB2312" w:eastAsia="仿宋_GB2312"/>
          <w:b w:val="0"/>
          <w:sz w:val="32"/>
        </w:rPr>
        <w:t>在资本运作上，泰森日盛推进股东增资、员工股权激励与战略投资者引进，上市准备有序推进；混改与“攀亲结对”模式撬动了国企与央企资本进入木业，多元的资本供给有力支撑了集群的快速扩张与迭代，中小企业的融资困境仍待政策工具实施精准滴灌，资本配置效率的高低直接影响集群创新的节奏，多元的资本供给有力支撑了集群的快速扩张与迭代，中小企业的融资困境仍待政策工具实施精准滴灌。</w:t>
      </w:r>
    </w:p>
    <w:p>
      <w:pPr>
        <w:spacing w:lineRule="exact" w:line="600" w:after="0"/>
        <w:ind w:firstLine="420"/>
      </w:pPr>
      <w:r>
        <w:rPr>
          <w:rFonts w:ascii="仿宋_GB2312" w:hAnsi="仿宋_GB2312" w:eastAsia="仿宋_GB2312"/>
          <w:b w:val="0"/>
          <w:sz w:val="32"/>
        </w:rPr>
        <w:t>总体看，集群资本配置效率在提升，但中小配套企业融资可得性仍有改善空间，需通过供应链金融与风险补偿，引导资本更精准地润泽产业链薄弱环节，多元的资本供给有力支撑了集群的快速扩张与迭代，中小企业的融资困境仍待政策工具实施精准滴灌，资本配置效率的高低直接影响集群创新的节奏，多元的资本供给有力支撑了集群的快速扩张与迭代，中小企业的融资困境仍待政策工具实施精准滴灌。</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资源通过园区集约利用得以释放。探沂镇腾笼换鸟拆除小散乱企业800余家、腾出土地5000余亩，用于建设高标准木业与化工园区，土地集约度显著提高，集约节约用地明显提升了单位土地面积的产出水平，推行绿色制造是实现产业集群可持续发展的内在要求，日趋刚性的能耗约束倒逼生产工艺持续升级换代，集约节约用地明显提升了单位土地面积的产出水平。</w:t>
      </w:r>
    </w:p>
    <w:p>
      <w:pPr>
        <w:spacing w:lineRule="exact" w:line="600" w:after="0"/>
        <w:ind w:firstLine="420"/>
      </w:pPr>
      <w:r>
        <w:rPr>
          <w:rFonts w:ascii="仿宋_GB2312" w:hAnsi="仿宋_GB2312" w:eastAsia="仿宋_GB2312"/>
          <w:b w:val="0"/>
          <w:sz w:val="32"/>
        </w:rPr>
        <w:t>在能耗方面，头部企业与粘合剂园区推行循环制造，余热回收与集中供热降低了单位产值能耗；绿色板材与无醛工艺契合“双碳”导向，能耗结构持续优化，集约节约用地明显提升了单位土地面积的产出水平，推行绿色制造是实现产业集群可持续发展的内在要求，日趋刚性的能耗约束倒逼生产工艺持续升级换代，集约节约用地明显提升了单位土地面积的产出水平，推行绿色制造是实现产业集群可持续发展的内在要求。</w:t>
      </w:r>
    </w:p>
    <w:p>
      <w:pPr>
        <w:spacing w:lineRule="exact" w:line="600" w:after="0"/>
        <w:ind w:firstLine="420"/>
      </w:pPr>
      <w:r>
        <w:rPr>
          <w:rFonts w:ascii="仿宋_GB2312" w:hAnsi="仿宋_GB2312" w:eastAsia="仿宋_GB2312"/>
          <w:b w:val="0"/>
          <w:sz w:val="32"/>
        </w:rPr>
        <w:t>需重点关注园区用地供给与环保容量的平衡，应在严守红线前提下统筹制造、物流与配套用地，以绿色集约方式提升土地综合承载力与可持续供给能力，集约节约用地明显提升了单位土地面积的产出水平，推行绿色制造是实现产业集群可持续发展的内在要求，日趋刚性的能耗约束倒逼生产工艺持续升级换代，集约节约用地明显提升了单位土地面积的产出水平，推行绿色制造是实现产业集群可持续发展的内在要求。</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木材及人造板基材为主，依托临沂商贸物流枢纽与全国木材流通网络保障供给；本地旋皮产能雄厚，为板材与家具提供稳定前端原料，原料保障能力的强弱直接关系到产业链的安全底线，关键材料的本地化研制是当前补链强链的重中之重，就近配套模式有效降低了供应链中断的潜在风险，原料保障能力的强弱直接关系到产业链的安全底线，关键材料的本地化研制是当前补链强链的重中之重。</w:t>
      </w:r>
    </w:p>
    <w:p>
      <w:pPr>
        <w:spacing w:lineRule="exact" w:line="600" w:after="0"/>
        <w:ind w:firstLine="420"/>
      </w:pPr>
      <w:r>
        <w:rPr>
          <w:rFonts w:ascii="仿宋_GB2312" w:hAnsi="仿宋_GB2312" w:eastAsia="仿宋_GB2312"/>
          <w:b w:val="0"/>
          <w:sz w:val="32"/>
        </w:rPr>
        <w:t>在辅料端，粘合剂化工园区整合原分散的40余家甲醛厂、400余家胶厂为5家股份制公司，建设山东首个千万吨级粘合剂生产基地，原材料本地配套能力增强，原料保障能力的强弱直接关系到产业链的安全底线，关键材料的本地化研制是当前补链强链的重中之重，就近配套模式有效降低了供应链中断的潜在风险，原料保障能力的强弱直接关系到产业链的安全底线，关键材料的本地化研制是当前补链强链的重中之重。</w:t>
      </w:r>
    </w:p>
    <w:p>
      <w:pPr>
        <w:spacing w:lineRule="exact" w:line="600" w:after="0"/>
        <w:ind w:firstLine="420"/>
      </w:pPr>
      <w:r>
        <w:rPr>
          <w:rFonts w:ascii="仿宋_GB2312" w:hAnsi="仿宋_GB2312" w:eastAsia="仿宋_GB2312"/>
          <w:b w:val="0"/>
          <w:sz w:val="32"/>
        </w:rPr>
        <w:t>原材料资源的稳定供给依赖物流与供应链韧性，集群应强化原料溯源与多渠道采购，防范价格波动与供给中断风险，守护好制造环节的基础物料保障，原料保障能力的强弱直接关系到产业链的安全底线，关键材料的本地化研制是当前补链强链的重中之重，就近配套模式有效降低了供应链中断的潜在风险，原料保障能力的强弱直接关系到产业链的安全底线，关键材料的本地化研制是当前补链强链的重中之重。</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以国内大循环为主，产品辐射全国。依托临沂“中国物流之都”与专业市场，板材、定制家居与装饰材料顺畅通达各地，市场半径广、响应速度快，广阔的国内内需市场是集群规模增长的主引擎，国产替代进程的深入为本土企业打开了新的空间，成熟的渠道优势进一步巩固了企业在市场中的地位，广阔的国内内需市场是集群规模增长的主引擎，国产替代进程的深入为本土企业打开了新的空间。</w:t>
      </w:r>
    </w:p>
    <w:p>
      <w:pPr>
        <w:spacing w:lineRule="exact" w:line="600" w:after="0"/>
        <w:ind w:firstLine="420"/>
      </w:pPr>
      <w:r>
        <w:rPr>
          <w:rFonts w:ascii="仿宋_GB2312" w:hAnsi="仿宋_GB2312" w:eastAsia="仿宋_GB2312"/>
          <w:b w:val="0"/>
          <w:sz w:val="32"/>
        </w:rPr>
        <w:t>在需求端，房地产精装与旧房翻新、全屋定制潮流拉动高端订单；泰森日盛已与30多家百强房企建立合作，显示出较强的工程渠道与品牌获客能力，广阔的国内内需市场是集群规模增长的主引擎，国产替代进程的深入为本土企业打开了新的空间，成熟的渠道优势进一步巩固了企业在市场中的地位，广阔的国内内需市场是集群规模增长的主引擎，国产替代进程的深入为本土企业打开了新的空间。</w:t>
      </w:r>
    </w:p>
    <w:p>
      <w:pPr>
        <w:spacing w:lineRule="exact" w:line="600" w:after="0"/>
        <w:ind w:firstLine="420"/>
      </w:pPr>
      <w:r>
        <w:rPr>
          <w:rFonts w:ascii="仿宋_GB2312" w:hAnsi="仿宋_GB2312" w:eastAsia="仿宋_GB2312"/>
          <w:b w:val="0"/>
          <w:sz w:val="32"/>
        </w:rPr>
        <w:t>需重点关注房地产周期对需求的扰动，应通过拓展存量翻新、装配式与文旅康养等多元场景，平滑地产波动，稳固国内基本盘的市场纵深，广阔的国内内需市场是集群规模增长的主引擎，国产替代进程的深入为本土企业打开了新的空间，成熟的渠道优势进一步巩固了企业在市场中的地位，广阔的国内内需市场是集群规模增长的主引擎，国产替代进程的深入为本土企业打开了新的空间。</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稳步提升，朝泰实业等配套企业产品远销俄罗斯、南非等十余国；板材与家居制成品借助临沂商城与口岸通道拓展海外，出口品类逐步丰富，当前的出口结构仍有进一步优化与升级的充裕余地，推动自主品牌出海是提升外贸质量的根本方向所在，复杂多变的外部市场环境需予以审慎研判与应对，当前的出口结构仍有进一步优化与升级的充裕余地，推动自主品牌出海是提升外贸质量的根本方向所在。</w:t>
      </w:r>
    </w:p>
    <w:p>
      <w:pPr>
        <w:spacing w:lineRule="exact" w:line="600" w:after="0"/>
        <w:ind w:firstLine="420"/>
      </w:pPr>
      <w:r>
        <w:rPr>
          <w:rFonts w:ascii="仿宋_GB2312" w:hAnsi="仿宋_GB2312" w:eastAsia="仿宋_GB2312"/>
          <w:b w:val="0"/>
          <w:sz w:val="32"/>
        </w:rPr>
        <w:t>从整体看，集群出口规模仍小于内销，多数企业以国内为主，参与国际竞争的广度与自主品牌出海能力与沿海制造强市相比存在差距，外向突破仍在途中，当前的出口结构仍有进一步优化与升级的充裕余地，推动自主品牌出海是提升外贸质量的根本方向所在，复杂多变的外部市场环境需予以审慎研判与应对，当前的出口结构仍有进一步优化与升级的充裕余地，推动自主品牌出海是提升外贸质量的根本方向所在。</w:t>
      </w:r>
    </w:p>
    <w:p>
      <w:pPr>
        <w:spacing w:lineRule="exact" w:line="600" w:after="0"/>
        <w:ind w:firstLine="420"/>
      </w:pPr>
      <w:r>
        <w:rPr>
          <w:rFonts w:ascii="仿宋_GB2312" w:hAnsi="仿宋_GB2312" w:eastAsia="仿宋_GB2312"/>
          <w:b w:val="0"/>
          <w:sz w:val="32"/>
        </w:rPr>
        <w:t>未来应借力跨境电商与海外仓，推动绿色家居与定制产品以高标准走出去，把环保与智造的差异化优势转化为可持续的外向型增长动能，当前的出口结构仍有进一步优化与升级的充裕余地，推动自主品牌出海是提升外贸质量的根本方向所在，复杂多变的外部市场环境需予以审慎研判与应对，当前的出口结构仍有进一步优化与升级的充裕余地，推动自主品牌出海是提升外贸质量的根本方向所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成效显现，“中国绿色家居材料基地”成为区域母品牌；泰森日盛、云峰莫干山、安信美家、TATA、千年舟等构成多层次品牌矩阵，知名度持续上升，强劲的品牌势能显著强化了集群对外的整体辨识度，公共品牌与企业品牌相互促进形成了良性的合力，国际高端形象的塑造与培育仍待持续加强，强劲的品牌势能显著强化了集群对外的整体辨识度，公共品牌与企业品牌相互促进形成了良性的合力。</w:t>
      </w:r>
    </w:p>
    <w:p>
      <w:pPr>
        <w:spacing w:lineRule="exact" w:line="600" w:after="0"/>
        <w:ind w:firstLine="420"/>
      </w:pPr>
      <w:r>
        <w:rPr>
          <w:rFonts w:ascii="仿宋_GB2312" w:hAnsi="仿宋_GB2312" w:eastAsia="仿宋_GB2312"/>
          <w:b w:val="0"/>
          <w:sz w:val="32"/>
        </w:rPr>
        <w:t>在品牌运营上，头部企业从代工与基材输出转向自主品牌与全屋定制，设计赋能与绿色认证提升了溢价；探沂镇“木业之窗”平台强化了区域品牌展示窗口，强劲的品牌势能显著强化了集群对外的整体辨识度，公共品牌与企业品牌相互促进形成了良性的合力，国际高端形象的塑造与培育仍待持续加强，强劲的品牌势能显著强化了集群对外的整体辨识度，公共品牌与企业品牌相互促进形成了良性的合力。</w:t>
      </w:r>
    </w:p>
    <w:p>
      <w:pPr>
        <w:spacing w:lineRule="exact" w:line="600" w:after="0"/>
        <w:ind w:firstLine="420"/>
      </w:pPr>
      <w:r>
        <w:rPr>
          <w:rFonts w:ascii="仿宋_GB2312" w:hAnsi="仿宋_GB2312" w:eastAsia="仿宋_GB2312"/>
          <w:b w:val="0"/>
          <w:sz w:val="32"/>
        </w:rPr>
        <w:t>品牌建设的关键在“母品牌+子品牌”协同，需统筹绿色认证与质量标准，避免内部同质化竞争，共同把“费县绿色家居”金字招牌的价值做大、做厚、做持久，强劲的品牌势能显著强化了集群对外的整体辨识度，公共品牌与企业品牌相互促进形成了良性的合力，国际高端形象的塑造与培育仍待持续加强，强劲的品牌势能显著强化了集群对外的整体辨识度，公共品牌与企业品牌相互促进形成了良性的合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绿色化、定制化、智能化新趋势。消费者更关注无醛环保、健康家居与一站式整装，倒逼集群由板材向“高品质、高附加值”终端产品转型，需求结构的升级倒逼供给端加快转型与提质，不断涌现的新兴需求孕育了可观的新增长空间，需求端的结构性变化要求企业作出敏捷响应，需求结构的升级倒逼供给端加快转型与提质，不断涌现的新兴需求孕育了可观的新增长空间。</w:t>
      </w:r>
    </w:p>
    <w:p>
      <w:pPr>
        <w:spacing w:lineRule="exact" w:line="600" w:after="0"/>
        <w:ind w:firstLine="420"/>
      </w:pPr>
      <w:r>
        <w:rPr>
          <w:rFonts w:ascii="仿宋_GB2312" w:hAnsi="仿宋_GB2312" w:eastAsia="仿宋_GB2312"/>
          <w:b w:val="0"/>
          <w:sz w:val="32"/>
        </w:rPr>
        <w:t>装配式建筑与精装房政策扩大工程定制需求，年轻群体偏好个性化与快交付，推动企业建设智能产线与柔性制造，以更短交期响应碎片化订单，需求结构的升级倒逼供给端加快转型与提质，不断涌现的新兴需求孕育了可观的新增长空间，需求端的结构性变化要求企业作出敏捷响应，需求结构的升级倒逼供给端加快转型与提质，不断涌现的新兴需求孕育了可观的新增长空间。</w:t>
      </w:r>
    </w:p>
    <w:p>
      <w:pPr>
        <w:spacing w:lineRule="exact" w:line="600" w:after="0"/>
        <w:ind w:firstLine="420"/>
      </w:pPr>
      <w:r>
        <w:rPr>
          <w:rFonts w:ascii="仿宋_GB2312" w:hAnsi="仿宋_GB2312" w:eastAsia="仿宋_GB2312"/>
          <w:b w:val="0"/>
          <w:sz w:val="32"/>
        </w:rPr>
        <w:t>需重点关注需求分层带来的供给适配压力，应在守住基材基本盘的同时以柔性产线响应新消费，避免盲目跟风，确保产品创新与真实需求同频共振，需求结构的升级倒逼供给端加快转型与提质，不断涌现的新兴需求孕育了可观的新增长空间，需求端的结构性变化要求企业作出敏捷响应，需求结构的升级倒逼供给端加快转型与提质，不断涌现的新兴需求孕育了可观的新增长空间。</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北方木业版图中，费县与临沂兰山、郯城及江苏邳州等形成竞争，费县凭借完整链条、绿色家居基地与探沂镇核心载体，在全屋定制与基材规模上具备领先优势，差异化的战略定位是有效应对区域竞争的关键，区域间对人才与项目的争夺正变得日趋激烈，巩固现有优势仍需在创新策源上持续取得突破，差异化的战略定位是有效应对区域竞争的关键，区域间对人才与项目的争夺正变得日趋激烈。</w:t>
      </w:r>
    </w:p>
    <w:p>
      <w:pPr>
        <w:spacing w:lineRule="exact" w:line="600" w:after="0"/>
        <w:ind w:firstLine="420"/>
      </w:pPr>
      <w:r>
        <w:rPr>
          <w:rFonts w:ascii="仿宋_GB2312" w:hAnsi="仿宋_GB2312" w:eastAsia="仿宋_GB2312"/>
          <w:b w:val="0"/>
          <w:sz w:val="32"/>
        </w:rPr>
        <w:t>与南方定制家居强市相比，集群在品牌影响力与高端设计上仍处追赶，但依托物流成本比全国平均低30%的显著优势，在中端绿色家居市场建立了差异化壁垒，差异化的战略定位是有效应对区域竞争的关键，区域间对人才与项目的争夺正变得日趋激烈，巩固现有优势仍需在创新策源上持续取得突破，差异化的战略定位是有效应对区域竞争的关键，区域间对人才与项目的争夺正变得日趋激烈。</w:t>
      </w:r>
    </w:p>
    <w:p>
      <w:pPr>
        <w:spacing w:lineRule="exact" w:line="600" w:after="0"/>
        <w:ind w:firstLine="420"/>
      </w:pPr>
      <w:r>
        <w:rPr>
          <w:rFonts w:ascii="仿宋_GB2312" w:hAnsi="仿宋_GB2312" w:eastAsia="仿宋_GB2312"/>
          <w:b w:val="0"/>
          <w:sz w:val="32"/>
        </w:rPr>
        <w:t>区域竞争的本质是品质、品牌与成本的较量，集群应巩固绿色智造特色，以“北居南运”的性价比定位在细分市场构筑难以复制的竞争优势，差异化的战略定位是有效应对区域竞争的关键，区域间对人才与项目的争夺正变得日趋激烈，巩固现有优势仍需在创新策源上持续取得突破，差异化的战略定位是有效应对区域竞争的关键，区域间对人才与项目的争夺正变得日趋激烈。</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仍存在结构性问题：一是中小企业量大势弱，研发与设计能力不足；二是历史上小散乱企业多，经整治后规范度提升但长效机制须巩固，若干结构性矛盾客观上制约了集群的整体跃升，协同深度的不足在一定程度上削弱了系统效能，既有问题的纠偏亟须采取系统性的施策举措，若干结构性矛盾客观上制约了集群的整体跃升，协同深度的不足在一定程度上削弱了系统效能。</w:t>
      </w:r>
    </w:p>
    <w:p>
      <w:pPr>
        <w:spacing w:lineRule="exact" w:line="600" w:after="0"/>
        <w:ind w:firstLine="420"/>
      </w:pPr>
      <w:r>
        <w:rPr>
          <w:rFonts w:ascii="仿宋_GB2312" w:hAnsi="仿宋_GB2312" w:eastAsia="仿宋_GB2312"/>
          <w:b w:val="0"/>
          <w:sz w:val="32"/>
        </w:rPr>
        <w:t>三是高端饰面、功能五金与工业软件依赖外购，价值链两端偏弱；四是品牌聚合度有待增强，部分企业“各自为战”，母品牌赋能子品牌的机制尚不完善，若干结构性矛盾客观上制约了集群的整体跃升，协同深度的不足在一定程度上削弱了系统效能，既有问题的纠偏亟须采取系统性的施策举措，若干结构性矛盾客观上制约了集群的整体跃升，协同深度的不足在一定程度上削弱了系统效能。</w:t>
      </w:r>
    </w:p>
    <w:p>
      <w:pPr>
        <w:spacing w:lineRule="exact" w:line="600" w:after="0"/>
        <w:ind w:firstLine="420"/>
      </w:pPr>
      <w:r>
        <w:rPr>
          <w:rFonts w:ascii="仿宋_GB2312" w:hAnsi="仿宋_GB2312" w:eastAsia="仿宋_GB2312"/>
          <w:b w:val="0"/>
          <w:sz w:val="32"/>
        </w:rPr>
        <w:t>需重点关注这些问题对集群整体竞争力的侵蚀，应通过标准化改造、联合品牌运营与公共服务下沉，把“多而散”转化为“聚而强”，筑牢高质量发展内部根基，若干结构性矛盾客观上制约了集群的整体跃升，协同深度的不足在一定程度上削弱了系统效能，既有问题的纠偏亟须采取系统性的施策举措，若干结构性矛盾客观上制约了集群的整体跃升，协同深度的不足在一定程度上削弱了系统效能。</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面临的主要外部风险包括房地产周期下行导致需求收缩、原材料价格与汇率波动、环保标准趋严带来的技改压力，以及南方与进口品牌的竞争挤压，各类风险的防范应当坚持未雨绸缪、超前部署，企业合规能力的建设已经显得刻不容缓且紧迫，较强的抗周期能力关乎产业集群能否行稳致远，各类风险的防范应当坚持未雨绸缪、超前部署，企业合规能力的建设已经显得刻不容缓且紧迫。</w:t>
      </w:r>
    </w:p>
    <w:p>
      <w:pPr>
        <w:spacing w:lineRule="exact" w:line="600" w:after="0"/>
        <w:ind w:firstLine="420"/>
      </w:pPr>
      <w:r>
        <w:rPr>
          <w:rFonts w:ascii="仿宋_GB2312" w:hAnsi="仿宋_GB2312" w:eastAsia="仿宋_GB2312"/>
          <w:b w:val="0"/>
          <w:sz w:val="32"/>
        </w:rPr>
        <w:t>此外，国际贸易壁垒与物流不确定性构成外向突破风险，粘合剂化工的安全环保监管亦须持续强化，需建立风险预警与应急预案，守牢安全环保底线，各类风险的防范应当坚持未雨绸缪、超前部署，企业合规能力的建设已经显得刻不容缓且紧迫，较强的抗周期能力关乎产业集群能否行稳致远，各类风险的防范应当坚持未雨绸缪、超前部署，企业合规能力的建设已经显得刻不容缓且紧迫。</w:t>
      </w:r>
    </w:p>
    <w:p>
      <w:pPr>
        <w:spacing w:lineRule="exact" w:line="600" w:after="0"/>
        <w:ind w:firstLine="420"/>
      </w:pPr>
      <w:r>
        <w:rPr>
          <w:rFonts w:ascii="仿宋_GB2312" w:hAnsi="仿宋_GB2312" w:eastAsia="仿宋_GB2312"/>
          <w:b w:val="0"/>
          <w:sz w:val="32"/>
        </w:rPr>
        <w:t>从长远看，筑牢绿色底色、强化标准话语权与品牌护城河是抵御外部风险的根本之道，集群应在波动中练好内功，以韧性强者姿态应对不确定性挑战，各类风险的防范应当坚持未雨绸缪、超前部署，企业合规能力的建设已经显得刻不容缓且紧迫，较强的抗周期能力关乎产业集群能否行稳致远，各类风险的防范应当坚持未雨绸缪、超前部署，企业合规能力的建设已经显得刻不容缓且紧迫。</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国家绿色低碳与制造业转型升级导向，山东省将特色产业集群作为中小企业融通发展的重要抓手，费县木业获评山东省特色产业集群进入省级支持范围，顶层的战略赋能有效提升了集群的发展位势，各级各类政策的协同配合形成了明显的发展合力，国家级的定位为集群带来了持续的政策红利释放，顶层的战略赋能有效提升了集群的发展位势，各级各类政策的协同配合形成了明显的发展合力。</w:t>
      </w:r>
    </w:p>
    <w:p>
      <w:pPr>
        <w:spacing w:lineRule="exact" w:line="600" w:after="0"/>
        <w:ind w:firstLine="420"/>
      </w:pPr>
      <w:r>
        <w:rPr>
          <w:rFonts w:ascii="仿宋_GB2312" w:hAnsi="仿宋_GB2312" w:eastAsia="仿宋_GB2312"/>
          <w:b w:val="0"/>
          <w:sz w:val="32"/>
        </w:rPr>
        <w:t>市县层面将木业列为优势主导产业，贯彻“十个一批”推动工业高速增长与传统产业转型升级，把木业作为稳增长、稳就业与巩固发展优势的重要依托，顶层的战略赋能有效提升了集群的发展位势，各级各类政策的协同配合形成了明显的发展合力，国家级的定位为集群带来了持续的政策红利释放，顶层的战略赋能有效提升了集群的发展位势，各级各类政策的协同配合形成了明显的发展合力。</w:t>
      </w:r>
    </w:p>
    <w:p>
      <w:pPr>
        <w:spacing w:lineRule="exact" w:line="600" w:after="0"/>
        <w:ind w:firstLine="420"/>
      </w:pPr>
      <w:r>
        <w:rPr>
          <w:rFonts w:ascii="仿宋_GB2312" w:hAnsi="仿宋_GB2312" w:eastAsia="仿宋_GB2312"/>
          <w:b w:val="0"/>
          <w:sz w:val="32"/>
        </w:rPr>
        <w:t>顶层政策释放出鲜明的提质增效信号，为集群争取项目、资金与要素提供了制度保障，也指引集群由规模扩张转向质量效益型内涵式发展，顶层的战略赋能有效提升了集群的发展位势，各级各类政策的协同配合形成了明显的发展合力，国家级的定位为集群带来了持续的政策红利释放，顶层的战略赋能有效提升了集群的发展位势，各级各类政策的协同配合形成了明显的发展合力。</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费县成立由县委、县政府主要负责同志任组长的木业产业转型升级领导小组，出台工业经济发展“8条”、科技创新“12条”，制定《木业产业转型升级实施方案》，精准务实的扶持显著增强了企业的政策获得感，专班化的服务明显提高了项目落地的整体效率，组合式的政策工具有效激发了市场主体的活力，精准务实的扶持显著增强了企业的政策获得感，专班化的服务明显提高了项目落地的整体效率。</w:t>
      </w:r>
    </w:p>
    <w:p>
      <w:pPr>
        <w:spacing w:lineRule="exact" w:line="600" w:after="0"/>
        <w:ind w:firstLine="420"/>
      </w:pPr>
      <w:r>
        <w:rPr>
          <w:rFonts w:ascii="仿宋_GB2312" w:hAnsi="仿宋_GB2312" w:eastAsia="仿宋_GB2312"/>
          <w:b w:val="0"/>
          <w:sz w:val="32"/>
        </w:rPr>
        <w:t>在扶持上，设立1亿元工业发展专项资金、2000万元技改奖补，开展“百企技改工程”与“招商引资突破年”，签约落地一批木业项目，实打实降低企业转型成本，精准务实的扶持显著增强了企业的政策获得感，专班化的服务明显提高了项目落地的整体效率，组合式的政策工具有效激发了市场主体的活力，精准务实的扶持显著增强了企业的政策获得感，专班化的服务明显提高了项目落地的整体效率。</w:t>
      </w:r>
    </w:p>
    <w:p>
      <w:pPr>
        <w:spacing w:lineRule="exact" w:line="600" w:after="0"/>
        <w:ind w:firstLine="420"/>
      </w:pPr>
      <w:r>
        <w:rPr>
          <w:rFonts w:ascii="仿宋_GB2312" w:hAnsi="仿宋_GB2312" w:eastAsia="仿宋_GB2312"/>
          <w:b w:val="0"/>
          <w:sz w:val="32"/>
        </w:rPr>
        <w:t>地方扶持已由单纯补贴转向系统集成与平台赋能，但政策落地的“最后一公里”与中小企业获得感仍须加强，应以可量化、可触达的举措提升政策红利，精准务实的扶持显著增强了企业的政策获得感，专班化的服务明显提高了项目落地的整体效率，组合式的政策工具有效激发了市场主体的活力，精准务实的扶持显著增强了企业的政策获得感，专班化的服务明显提高了项目落地的整体效率。</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完善。依托临沂“中国物流之都”，物流成本比全国平均低30%；鲁南高铁、兖石铁路、日兰高速与5条国省道、通用机场构成现代综合交通网络，较为完善的配套显著降低了企业的创业与运营成本，面向创新的服务供给在当前阶段已较为充分完备，承载力的进一步升级仍需予以前瞻性的统筹布局，较为完善的配套显著降低了企业的创业与运营成本，面向创新的服务供给在当前阶段已较为充分完备。</w:t>
      </w:r>
    </w:p>
    <w:p>
      <w:pPr>
        <w:spacing w:lineRule="exact" w:line="600" w:after="0"/>
        <w:ind w:firstLine="420"/>
      </w:pPr>
      <w:r>
        <w:rPr>
          <w:rFonts w:ascii="仿宋_GB2312" w:hAnsi="仿宋_GB2312" w:eastAsia="仿宋_GB2312"/>
          <w:b w:val="0"/>
          <w:sz w:val="32"/>
        </w:rPr>
        <w:t>在产业平台方面，定制家居、木业转型、粘合剂化工与城西木业产业园协同布局，“木业之窗”展示平台、检验检测与人才集团提供一站式公共服务，较为完善的配套显著降低了企业的创业与运营成本，面向创新的服务供给在当前阶段已较为充分完备，承载力的进一步升级仍需予以前瞻性的统筹布局，较为完善的配套显著降低了企业的创业与运营成本，面向创新的服务供给在当前阶段已较为充分完备。</w:t>
      </w:r>
    </w:p>
    <w:p>
      <w:pPr>
        <w:spacing w:lineRule="exact" w:line="600" w:after="0"/>
        <w:ind w:firstLine="420"/>
      </w:pPr>
      <w:r>
        <w:rPr>
          <w:rFonts w:ascii="仿宋_GB2312" w:hAnsi="仿宋_GB2312" w:eastAsia="仿宋_GB2312"/>
          <w:b w:val="0"/>
          <w:sz w:val="32"/>
        </w:rPr>
        <w:t>公共配套的短板在冷链与高端商贸服务下沉，应补强从基材到成品的全程服务网络，让中小企业也能平等享受物流、信息与金融等公共服务，缩小内部差距，较为完善的配套显著降低了企业的创业与运营成本，面向创新的服务供给在当前阶段已较为充分完备，承载力的进一步升级仍需予以前瞻性的统筹布局，较为完善的配套显著降低了企业的创业与运营成本，面向创新的服务供给在当前阶段已较为充分完备。</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木业协会在集群治理中发挥桥梁纽带作用，搭建合作平台促进融资担保、产品研发与企业重组的资源共享，并加强行业自律、引导规范生产与诚信经营，行业协会的桥梁纽带作用在发展中日益凸显，行业层面的协同治理效能尚有进一步强化的空间，中介力量的壮大有助于整体产业生态的优化，行业协会的桥梁纽带作用在发展中日益凸显，行业层面的协同治理效能尚有进一步强化的空间。</w:t>
      </w:r>
    </w:p>
    <w:p>
      <w:pPr>
        <w:spacing w:lineRule="exact" w:line="600" w:after="0"/>
        <w:ind w:firstLine="420"/>
      </w:pPr>
      <w:r>
        <w:rPr>
          <w:rFonts w:ascii="仿宋_GB2312" w:hAnsi="仿宋_GB2312" w:eastAsia="仿宋_GB2312"/>
          <w:b w:val="0"/>
          <w:sz w:val="32"/>
        </w:rPr>
        <w:t>协会对新引进项目审核把关，推动原45家甲醛与100余家粘合剂企业整合集聚入园，显著提升了安全环保监管效能与产业组织化程度，是转型的重要推手，行业协会的桥梁纽带作用在发展中日益凸显，行业层面的协同治理效能尚有进一步强化的空间，中介力量的壮大有助于整体产业生态的优化，行业协会的桥梁纽带作用在发展中日益凸显，行业层面的协同治理效能尚有进一步强化的空间。</w:t>
      </w:r>
    </w:p>
    <w:p>
      <w:pPr>
        <w:spacing w:lineRule="exact" w:line="600" w:after="0"/>
        <w:ind w:firstLine="420"/>
      </w:pPr>
      <w:r>
        <w:rPr>
          <w:rFonts w:ascii="仿宋_GB2312" w:hAnsi="仿宋_GB2312" w:eastAsia="仿宋_GB2312"/>
          <w:b w:val="0"/>
          <w:sz w:val="32"/>
        </w:rPr>
        <w:t>协会应在品牌维权、质量自律与培训服务上承担更多公共职能，避免“空转”，真正成为政府、企业、农户之间的黏合剂与产业共识的凝聚者，行业协会的桥梁纽带作用在发展中日益凸显，行业层面的协同治理效能尚有进一步强化的空间，中介力量的壮大有助于整体产业生态的优化，行业协会的桥梁纽带作用在发展中日益凸显，行业层面的协同治理效能尚有进一步强化的空间。</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突出。2021年规上木业产值300亿元、增长20%，全行业税收24.2亿元、增长43.4%，占全县税收近半、工业税收逾六成，是财源第一支柱，集群对区域经济的贡献突出且呈现持续放大态势，支柱地位稳固有力支撑了所在地工业的平稳增长，单位要素的产出效率在区内主导产业中明显领先，集群对区域经济的贡献突出且呈现持续放大态势，支柱地位稳固有力支撑了所在地工业的平稳增长。</w:t>
      </w:r>
    </w:p>
    <w:p>
      <w:pPr>
        <w:spacing w:lineRule="exact" w:line="600" w:after="0"/>
        <w:ind w:firstLine="420"/>
      </w:pPr>
      <w:r>
        <w:rPr>
          <w:rFonts w:ascii="仿宋_GB2312" w:hAnsi="仿宋_GB2312" w:eastAsia="仿宋_GB2312"/>
          <w:b w:val="0"/>
          <w:sz w:val="32"/>
        </w:rPr>
        <w:t>据不完全统计，全县木业市场主体6500余家、地区生产总值469.7亿元，绿色家居产业以一张板带活一方经济，对县域总量的支撑作用举足轻重，集群对区域经济的贡献突出且呈现持续放大态势，支柱地位稳固有力支撑了所在地工业的平稳增长，单位要素的产出效率在区内主导产业中明显领先，集群对区域经济的贡献突出且呈现持续放大态势，支柱地位稳固有力支撑了所在地工业的平稳增长。</w:t>
      </w:r>
    </w:p>
    <w:p>
      <w:pPr>
        <w:spacing w:lineRule="exact" w:line="600" w:after="0"/>
        <w:ind w:firstLine="420"/>
      </w:pPr>
      <w:r>
        <w:rPr>
          <w:rFonts w:ascii="仿宋_GB2312" w:hAnsi="仿宋_GB2312" w:eastAsia="仿宋_GB2312"/>
          <w:b w:val="0"/>
          <w:sz w:val="32"/>
        </w:rPr>
        <w:t>经济效应的持续释放依赖价值链提升，集群应在稳定一产基础上做优二产、激活三产，推动由“卖基材”向“卖产品、卖品牌、卖设计”递进，放大综合贡献，集群对区域经济的贡献突出且呈现持续放大态势，支柱地位稳固有力支撑了所在地工业的平稳增长，单位要素的产出效率在区内主导产业中明显领先，集群对区域经济的贡献突出且呈现持续放大态势，支柱地位稳固有力支撑了所在地工业的平稳增长。</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能力强，木业直接从业人员约20万人，从事木业加工人员近20万人，是吸纳农村转移劳动力与稳定县域就业的主渠道，集群对各类就业的吸纳带动能力相对较强，所提供的岗位结构多元且具备较好的成长性，高质量的就业有效改善了当地居民的收入结构，集群对各类就业的吸纳带动能力相对较强，所提供的岗位结构多元且具备较好的成长性，高质量的就业有效改善了当地居民的收入结构。</w:t>
      </w:r>
    </w:p>
    <w:p>
      <w:pPr>
        <w:spacing w:lineRule="exact" w:line="600" w:after="0"/>
        <w:ind w:firstLine="420"/>
      </w:pPr>
      <w:r>
        <w:rPr>
          <w:rFonts w:ascii="仿宋_GB2312" w:hAnsi="仿宋_GB2312" w:eastAsia="仿宋_GB2312"/>
          <w:b w:val="0"/>
          <w:sz w:val="32"/>
        </w:rPr>
        <w:t>从结构看，从旋皮、制造到设计、物流、展销，多元岗位为不同技能群体提供就业；头部企业智造升级在替代部分岗位的同时，也创造了高技能新岗位，集群对各类就业的吸纳带动能力相对较强，所提供的岗位结构多元且具备较好的成长性，高质量的就业有效改善了当地居民的收入结构，集群对各类就业的吸纳带动能力相对较强，所提供的岗位结构多元且具备较好的成长性。</w:t>
      </w:r>
    </w:p>
    <w:p>
      <w:pPr>
        <w:spacing w:lineRule="exact" w:line="600" w:after="0"/>
        <w:ind w:firstLine="420"/>
      </w:pPr>
      <w:r>
        <w:rPr>
          <w:rFonts w:ascii="仿宋_GB2312" w:hAnsi="仿宋_GB2312" w:eastAsia="仿宋_GB2312"/>
          <w:b w:val="0"/>
          <w:sz w:val="32"/>
        </w:rPr>
        <w:t>就业效应的巩固需要技能培训与新业态岗位创造并举，应通过产教融合与电商直播等拓展就业，让木业不仅产出板材，也持续产出家门口的幸福生活，集群对各类就业的吸纳带动能力相对较强，所提供的岗位结构多元且具备较好的成长性，高质量的就业有效改善了当地居民的收入结构，集群对各类就业的吸纳带动能力相对较强，所提供的岗位结构多元且具备较好的成长性。</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显著，木业带动粘合剂化工、装饰纸、封边条、机械装备与智慧物流等关联产业发展，朝泰实业等配套“单项冠军”随之壮大并出口海外，创新的溢出有力带动了周边关联产业的升级，空间的辐射作用放大了集群的正外部性效应，知识的扩散为长期发展夯实了坚实的动能基础，创新的溢出有力带动了周边关联产业的升级，空间的辐射作用放大了集群的正外部性效应。</w:t>
      </w:r>
    </w:p>
    <w:p>
      <w:pPr>
        <w:spacing w:lineRule="exact" w:line="600" w:after="0"/>
        <w:ind w:firstLine="420"/>
      </w:pPr>
      <w:r>
        <w:rPr>
          <w:rFonts w:ascii="仿宋_GB2312" w:hAnsi="仿宋_GB2312" w:eastAsia="仿宋_GB2312"/>
          <w:b w:val="0"/>
          <w:sz w:val="32"/>
        </w:rPr>
        <w:t>以产兴城、以城促产，探沂镇推进产城融合、产教融合与职住平衡，建设木业总部经济与展销中心，把单一产业镇升级为产城融合的鲁南节点城镇，创新的溢出有力带动了周边关联产业的升级，空间的辐射作用放大了集群的正外部性效应，知识的扩散为长期发展夯实了坚实的动能基础，创新的溢出有力带动了周边关联产业的升级，空间的辐射作用放大了集群的正外部性效应。</w:t>
      </w:r>
    </w:p>
    <w:p>
      <w:pPr>
        <w:spacing w:lineRule="exact" w:line="600" w:after="0"/>
        <w:ind w:firstLine="420"/>
      </w:pPr>
      <w:r>
        <w:rPr>
          <w:rFonts w:ascii="仿宋_GB2312" w:hAnsi="仿宋_GB2312" w:eastAsia="仿宋_GB2312"/>
          <w:b w:val="0"/>
          <w:sz w:val="32"/>
        </w:rPr>
        <w:t>溢出效应的深化有赖于业态协同，应将绿色家居与文旅、康养、展贸串联，把单一制造集群升级为可游、可学、可购的产城融合综合体，溢出更多综合价值，创新的溢出有力带动了周边关联产业的升级，空间的辐射作用放大了集群的正外部性效应，知识的扩散为长期发展夯实了坚实的动能基础，创新的溢出有力带动了周边关联产业的升级，空间的辐射作用放大了集群的正外部性效应。</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突出，费县木业相关荣誉密集，先后获评国家火炬木基复合材料特色产业基地、国家林产工业科技示范园区、中国绿色家居材料基地，民生福祉因国产替代的推进而得到切实提升，公共健康领域的保障能力随之显著增强，社会认同感的提升凝聚了推动发展的广泛共识，民生福祉因国产替代的推进而得到切实提升，公共健康领域的保障能力随之显著增强，社会认同感的提升凝聚了推动发展的广泛共识。</w:t>
      </w:r>
    </w:p>
    <w:p>
      <w:pPr>
        <w:spacing w:lineRule="exact" w:line="600" w:after="0"/>
        <w:ind w:firstLine="420"/>
      </w:pPr>
      <w:r>
        <w:rPr>
          <w:rFonts w:ascii="仿宋_GB2312" w:hAnsi="仿宋_GB2312" w:eastAsia="仿宋_GB2312"/>
          <w:b w:val="0"/>
          <w:sz w:val="32"/>
        </w:rPr>
        <w:t>木业发展改善了镇村面貌与居民收入结构，探沂镇成为中国特色小镇与“鲁南第一镇”，产业兴旺夯实了基层治理与乡村全面振兴的物质基础，民生福祉因国产替代的推进而得到切实提升，公共健康领域的保障能力随之显著增强，社会认同感的提升凝聚了推动发展的广泛共识，民生福祉因国产替代的推进而得到切实提升，公共健康领域的保障能力随之显著增强，社会认同感的提升凝聚了推动发展的广泛共识。</w:t>
      </w:r>
    </w:p>
    <w:p>
      <w:pPr>
        <w:spacing w:lineRule="exact" w:line="600" w:after="0"/>
        <w:ind w:firstLine="420"/>
      </w:pPr>
      <w:r>
        <w:rPr>
          <w:rFonts w:ascii="仿宋_GB2312" w:hAnsi="仿宋_GB2312" w:eastAsia="仿宋_GB2312"/>
          <w:b w:val="0"/>
          <w:sz w:val="32"/>
        </w:rPr>
        <w:t>社会效应的长效维系需把产业发展与基层治理、文化传承结合，以木兴业、以业润城，让特色集群不仅富一方百姓，也塑一方风尚、留一方乡愁，民生福祉因国产替代的推进而得到切实提升，公共健康领域的保障能力随之显著增强，社会认同感的提升凝聚了推动发展的广泛共识，民生福祉因国产替代的推进而得到切实提升，公共健康领域的保障能力随之显著增强，社会认同感的提升凝聚了推动发展的广泛共识。</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现存问题集中在四方面：一是中小企业研发设计偏弱，量大势弱格局待破；二是绿色胶黏与高端饰面等关键环节自主供给不足，清晰的问题研判是科学优化路径的重要前提，内部与外部挑战的叠加需要予以系统性应对，当前的主要矛盾集中指向发展的质量与效益提升，清晰的问题研判是科学优化路径的重要前提，内部与外部挑战的叠加需要予以系统性应对。</w:t>
      </w:r>
    </w:p>
    <w:p>
      <w:pPr>
        <w:spacing w:lineRule="exact" w:line="600" w:after="0"/>
        <w:ind w:firstLine="420"/>
      </w:pPr>
      <w:r>
        <w:rPr>
          <w:rFonts w:ascii="仿宋_GB2312" w:hAnsi="仿宋_GB2312" w:eastAsia="仿宋_GB2312"/>
          <w:b w:val="0"/>
          <w:sz w:val="32"/>
        </w:rPr>
        <w:t>三是品牌聚合度不够，母品牌与子品牌协同机制有待健全；四是公共服务与数字化转型下沉不足，中小企业创新与融资可得性偏弱，制约整体能级跃升，清晰的问题研判是科学优化路径的重要前提，内部与外部挑战的叠加需要予以系统性应对，当前的主要矛盾集中指向发展的质量与效益提升，清晰的问题研判是科学优化路径的重要前提，内部与外部挑战的叠加需要予以系统性应对。</w:t>
      </w:r>
    </w:p>
    <w:p>
      <w:pPr>
        <w:spacing w:lineRule="exact" w:line="600" w:after="0"/>
        <w:ind w:firstLine="420"/>
      </w:pPr>
      <w:r>
        <w:rPr>
          <w:rFonts w:ascii="仿宋_GB2312" w:hAnsi="仿宋_GB2312" w:eastAsia="仿宋_GB2312"/>
          <w:b w:val="0"/>
          <w:sz w:val="32"/>
        </w:rPr>
        <w:t>这些问题相互交织，决定了集群不能走粗放扩张老路，必须转向以质取胜、以链聚势的内涵式发展道路，在补短板与锻长板中实现质效双升，清晰的问题研判是科学优化路径的重要前提，内部与外部挑战的叠加需要予以系统性应对，当前的主要矛盾集中指向发展的质量与效益提升，清晰的问题研判是科学优化路径的重要前提，内部与外部挑战的叠加需要予以系统性应对，当前的主要矛盾集中指向发展的质量与效益提升。</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补齐无醛胶黏、高端饰面、功能五金与工业软件等短板，提升产业链自主可控水平；强链方面强化设计、品牌与渠道掌控，向价值链高端攀升，补链工作的重点在于攻克关键的卡脖子环节，强链的根本意图在于占据价值链的更高端位置，延链则是向全周期产业生态的横向与纵向拓展，补链工作的重点在于攻克关键的卡脖子环节，强链的根本意图在于占据价值链的更高端位置。</w:t>
      </w:r>
    </w:p>
    <w:p>
      <w:pPr>
        <w:spacing w:lineRule="exact" w:line="600" w:after="0"/>
        <w:ind w:firstLine="420"/>
      </w:pPr>
      <w:r>
        <w:rPr>
          <w:rFonts w:ascii="仿宋_GB2312" w:hAnsi="仿宋_GB2312" w:eastAsia="仿宋_GB2312"/>
          <w:b w:val="0"/>
          <w:sz w:val="32"/>
        </w:rPr>
        <w:t>延链方面，拓展全屋定制、智能家居与装配式内装新赛道，延伸商贸、展销与智慧物流服务，把单一板材链延伸为多元、复合、高附加值的产业生态，补链工作的重点在于攻克关键的卡脖子环节，强链的根本意图在于占据价值链的更高端位置，延链则是向全周期产业生态的横向与纵向拓展，补链工作的重点在于攻克关键的卡脖子环节，强链的根本意图在于占据价值链的更高端位置。</w:t>
      </w:r>
    </w:p>
    <w:p>
      <w:pPr>
        <w:spacing w:lineRule="exact" w:line="600" w:after="0"/>
        <w:ind w:firstLine="420"/>
      </w:pPr>
      <w:r>
        <w:rPr>
          <w:rFonts w:ascii="仿宋_GB2312" w:hAnsi="仿宋_GB2312" w:eastAsia="仿宋_GB2312"/>
          <w:b w:val="0"/>
          <w:sz w:val="32"/>
        </w:rPr>
        <w:t>延链的根本意图在于占据价值链的更高端位置，补链强链延链应一体推进，以全链条视角绘制升级施工图，避免环节割裂，确保集群在协同中增强竞争力，补链工作的重点在于攻克关键的卡脖子环节，强链的根本意图在于占据价值链的更高端位置，延链则是向全周期产业生态的横向与纵向拓展，补链工作的重点在于攻克关键的卡脖子环节，强链的根本意图在于占据价值链的更高端位置。</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应坚持“龙头引领、中小协同、作坊升级”的培育思路，支持泰森日盛、云峰莫干山等头部企业做强品牌与研发，带动中小企业向专精特新迈进，形成健康群落，梯度化的培育有助于壮大健康的的企业群落，大中小企业融通发展能够优化整体产业生态，走专精特新之路是中小企业转型的现实方向，梯度化的培育有助于壮大健康的的企业群落，大中小企业融通发展能够优化整体产业生态。</w:t>
      </w:r>
    </w:p>
    <w:p>
      <w:pPr>
        <w:spacing w:lineRule="exact" w:line="600" w:after="0"/>
        <w:ind w:firstLine="420"/>
      </w:pPr>
      <w:r>
        <w:rPr>
          <w:rFonts w:ascii="仿宋_GB2312" w:hAnsi="仿宋_GB2312" w:eastAsia="仿宋_GB2312"/>
          <w:b w:val="0"/>
          <w:sz w:val="32"/>
        </w:rPr>
        <w:t>对广大配套企业与旋皮户，应通过标准化改造、联合品牌与代工协作纳入现代化产业体系，推动由“单打独斗”走向“抱团发展”，优化整体产业生态与质量基线，梯度化的培育有助于壮大健康的的企业群落，大中小企业融通发展能够优化整体产业生态，走专精特新之路是中小企业转型的现实方向，梯度化的培育有助于壮大健康的的企业群落，大中小企业融通发展能够优化整体产业生态。</w:t>
      </w:r>
    </w:p>
    <w:p>
      <w:pPr>
        <w:spacing w:lineRule="exact" w:line="600" w:after="0"/>
        <w:ind w:firstLine="420"/>
      </w:pPr>
      <w:r>
        <w:rPr>
          <w:rFonts w:ascii="仿宋_GB2312" w:hAnsi="仿宋_GB2312" w:eastAsia="仿宋_GB2312"/>
          <w:b w:val="0"/>
          <w:sz w:val="32"/>
        </w:rPr>
        <w:t>梯度化的培育有助于壮大健康的的企业群落，大中小企业融通发展能够优化整体产业生态，走专精特新之路是中小企业转型的现实方向，应分类施策、精准滴灌，梯度化的培育有助于壮大健康的的企业群落，大中小企业融通发展能够优化整体产业生态，走专精特新之路是中小企业转型的现实方向，梯度化的培育有助于壮大健康的的企业群落，大中小企业融通发展能够优化整体产业生态。</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坚持平台能力建设与成果转化双轮驱动，依托木业产业研究院、市级科技平台与“1+2+N”协同创新，把院所技术更快转化为适销对路的产品与标准，平台能力建设与成果转化须坚持双轮驱动，健全转化通道方能切实提速产业化进程，人才与资本共同夯实了集群创新的根基，平台能力建设与成果转化须坚持双轮驱动，健全转化通道方能切实提速产业化进程。</w:t>
      </w:r>
    </w:p>
    <w:p>
      <w:pPr>
        <w:spacing w:lineRule="exact" w:line="600" w:after="0"/>
        <w:ind w:firstLine="420"/>
      </w:pPr>
      <w:r>
        <w:rPr>
          <w:rFonts w:ascii="仿宋_GB2312" w:hAnsi="仿宋_GB2312" w:eastAsia="仿宋_GB2312"/>
          <w:b w:val="0"/>
          <w:sz w:val="32"/>
        </w:rPr>
        <w:t>应健全智能制造与绿色制造转化通道，推广泰森日盛工业4.0经验与联亿新能源循环模式，鼓励企业围绕无醛、定制、智能持续推出创新单品，提速产业化，平台能力建设与成果转化须坚持双轮驱动，健全转化通道方能切实提速产业化进程，人才与资本共同夯实了集群创新的根基，平台能力建设与成果转化须坚持双轮驱动，健全转化通道方能切实提速产业化进程，人才与资本共同夯实了集群创新的根基。</w:t>
      </w:r>
    </w:p>
    <w:p>
      <w:pPr>
        <w:spacing w:lineRule="exact" w:line="600" w:after="0"/>
        <w:ind w:firstLine="420"/>
      </w:pPr>
      <w:r>
        <w:rPr>
          <w:rFonts w:ascii="仿宋_GB2312" w:hAnsi="仿宋_GB2312" w:eastAsia="仿宋_GB2312"/>
          <w:b w:val="0"/>
          <w:sz w:val="32"/>
        </w:rPr>
        <w:t>平台能力建设与成果转化须坚持双轮驱动，健全转化通道方能切实提速产业化进程，人才与资本共同夯实了集群创新的根基，应统筹引才、引智与引资形成合力，平台能力建设与成果转化须坚持双轮驱动，健全转化通道方能切实提速产业化进程，人才与资本共同夯实了集群创新的根基，平台能力建设与成果转化须坚持双轮驱动，健全转化通道方能切实提速产业化进程，人才与资本共同夯实了集群创新的根基。</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上，应在严守红线前提下统筹制造、物流与配套用地，推广腾笼换鸟与园区集约，以绿色集约方式提升土地综合承载力与可持续供给能力，要素的精准供给为集群升级提供了有力支撑，多重要素的协同保障筑牢了产业发展的底座，绿色集约的发展方式有效提升了综合承载力，要素的精准供给为集群升级提供了有力支撑，多重要素的协同保障筑牢了产业发展的底座。</w:t>
      </w:r>
    </w:p>
    <w:p>
      <w:pPr>
        <w:spacing w:lineRule="exact" w:line="600" w:after="0"/>
        <w:ind w:firstLine="420"/>
      </w:pPr>
      <w:r>
        <w:rPr>
          <w:rFonts w:ascii="仿宋_GB2312" w:hAnsi="仿宋_GB2312" w:eastAsia="仿宋_GB2312"/>
          <w:b w:val="0"/>
          <w:sz w:val="32"/>
        </w:rPr>
        <w:t>资本方面，推广供应链金融、产业基金与风险补偿，缓解中小配套企业融资难；劳动力方面以产教融合改善技能结构，吸引青年返乡，稳定产业人力资本，要素的精准供给为集群升级提供了有力支撑，多重要素的协同保障筑牢了产业发展的底座，绿色集约的发展方式有效提升了综合承载力，要素的精准供给为集群升级提供了有力支撑，多重要素的协同保障筑牢了产业发展的底座。</w:t>
      </w:r>
    </w:p>
    <w:p>
      <w:pPr>
        <w:spacing w:lineRule="exact" w:line="600" w:after="0"/>
        <w:ind w:firstLine="420"/>
      </w:pPr>
      <w:r>
        <w:rPr>
          <w:rFonts w:ascii="仿宋_GB2312" w:hAnsi="仿宋_GB2312" w:eastAsia="仿宋_GB2312"/>
          <w:b w:val="0"/>
          <w:sz w:val="32"/>
        </w:rPr>
        <w:t>要素的精准供给为集群升级提供了有力支撑，多重要素的协同保障筑牢了产业发展的底座，绿色集约的发展方式有效提升了综合承载力，应强化要素配置系统性，要素的精准供给为集群升级提供了有力支撑，多重要素的协同保障筑牢了产业发展的底座，绿色集约的发展方式有效提升了综合承载力，要素的精准供给为集群升级提供了有力支撑，多重要素的协同保障筑牢了产业发展的底座。</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系统集成，把工业“8条”、科技“12条”与转型升级方案在集群层面打包落地，形成可量化、可触达的施政清单，提升中小企业政策获得感，政策的系统集成能够明显提升整体的施策效能，稳定的政策预期增强了各类主体的投资信心，法治化国际化营商环境保障集群行稳致远，政策的系统集成能够明显提升整体的施策效能，稳定的政策预期增强了各类主体的投资信心。</w:t>
      </w:r>
    </w:p>
    <w:p>
      <w:pPr>
        <w:spacing w:lineRule="exact" w:line="600" w:after="0"/>
        <w:ind w:firstLine="420"/>
      </w:pPr>
      <w:r>
        <w:rPr>
          <w:rFonts w:ascii="仿宋_GB2312" w:hAnsi="仿宋_GB2312" w:eastAsia="仿宋_GB2312"/>
          <w:b w:val="0"/>
          <w:sz w:val="32"/>
        </w:rPr>
        <w:t>应稳定特色产业集群的支持预期，完善绿色认证与质量标准体系，保护“中国绿色家居材料基地”招牌；优化法治化国际化营商环境，增强各类主体投资信心，政策的系统集成能够明显提升整体的施策效能，稳定的政策预期增强了各类主体的投资信心，法治化国际化营商环境保障集群行稳致远，政策的系统集成能够明显提升整体的施策效能，稳定的政策预期增强了各类主体的投资信心。</w:t>
      </w:r>
    </w:p>
    <w:p>
      <w:pPr>
        <w:spacing w:lineRule="exact" w:line="600" w:after="0"/>
        <w:ind w:firstLine="420"/>
      </w:pPr>
      <w:r>
        <w:rPr>
          <w:rFonts w:ascii="仿宋_GB2312" w:hAnsi="仿宋_GB2312" w:eastAsia="仿宋_GB2312"/>
          <w:b w:val="0"/>
          <w:sz w:val="32"/>
        </w:rPr>
        <w:t>政策的系统集成能够明显提升整体的施策效能，稳定的政策预期增强了各类主体的投资信心，法治化国际化营商环境保障集群行稳致远，应以制度稳预期、以预期促投资，政策的系统集成能够明显提升整体的施策效能，稳定的政策预期增强了各类主体的投资信心，法治化国际化营商环境保障集群行稳致远，政策的系统集成能够明显提升整体的施策效能，稳定的政策预期增强了各类主体的投资信心。</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titleurlsourceyear</w:t>
      </w:r>
    </w:p>
    <w:p>
      <w:pPr>
        <w:spacing w:lineRule="exact" w:line="600" w:after="0"/>
        <w:ind w:firstLine="0"/>
      </w:pPr>
      <w:r>
        <w:rPr>
          <w:rFonts w:ascii="仿宋_GB2312" w:hAnsi="仿宋_GB2312" w:eastAsia="仿宋_GB2312"/>
          <w:b w:val="0"/>
          <w:sz w:val="32"/>
        </w:rPr>
        <w:t>titleurlsourceyear</w:t>
      </w:r>
    </w:p>
    <w:p>
      <w:pPr>
        <w:spacing w:lineRule="exact" w:line="600" w:after="0"/>
        <w:ind w:firstLine="0"/>
      </w:pPr>
      <w:r>
        <w:rPr>
          <w:rFonts w:ascii="仿宋_GB2312" w:hAnsi="仿宋_GB2312" w:eastAsia="仿宋_GB2312"/>
          <w:b w:val="0"/>
          <w:sz w:val="32"/>
        </w:rPr>
        <w:t>titleurlsourceyear</w:t>
      </w:r>
    </w:p>
    <w:p>
      <w:pPr>
        <w:spacing w:lineRule="exact" w:line="600" w:after="0"/>
        <w:ind w:firstLine="0"/>
      </w:pPr>
      <w:r>
        <w:rPr>
          <w:rFonts w:ascii="仿宋_GB2312" w:hAnsi="仿宋_GB2312" w:eastAsia="仿宋_GB2312"/>
          <w:b w:val="0"/>
          <w:sz w:val="32"/>
        </w:rPr>
        <w:t>titleurlsourceyear</w:t>
      </w:r>
    </w:p>
    <w:p>
      <w:pPr>
        <w:spacing w:lineRule="exact" w:line="600" w:after="0"/>
        <w:ind w:firstLine="0"/>
      </w:pPr>
      <w:r>
        <w:rPr>
          <w:rFonts w:ascii="仿宋_GB2312" w:hAnsi="仿宋_GB2312" w:eastAsia="仿宋_GB2312"/>
          <w:b w:val="0"/>
          <w:sz w:val="32"/>
        </w:rPr>
        <w:t>titleurlsourceyear</w:t>
      </w:r>
    </w:p>
    <w:p>
      <w:pPr>
        <w:spacing w:lineRule="exact" w:line="600" w:after="0"/>
        <w:ind w:firstLine="0"/>
      </w:pPr>
      <w:r>
        <w:rPr>
          <w:rFonts w:ascii="仿宋_GB2312" w:hAnsi="仿宋_GB2312" w:eastAsia="仿宋_GB2312"/>
          <w:b w:val="0"/>
          <w:sz w:val="32"/>
        </w:rPr>
        <w:t>titleurlsourceyear</w:t>
      </w:r>
    </w:p>
    <w:p>
      <w:pPr>
        <w:spacing w:lineRule="exact" w:line="600" w:after="0"/>
        <w:ind w:firstLine="0"/>
      </w:pPr>
      <w:r>
        <w:rPr>
          <w:rFonts w:ascii="仿宋_GB2312" w:hAnsi="仿宋_GB2312" w:eastAsia="仿宋_GB2312"/>
          <w:b w:val="0"/>
          <w:sz w:val="32"/>
        </w:rPr>
        <w:t>titleurlsourceyear</w:t>
      </w:r>
    </w:p>
    <w:p>
      <w:pPr>
        <w:spacing w:lineRule="exact" w:line="600" w:after="0"/>
        <w:ind w:firstLine="0"/>
      </w:pPr>
      <w:r>
        <w:rPr>
          <w:rFonts w:ascii="仿宋_GB2312" w:hAnsi="仿宋_GB2312" w:eastAsia="仿宋_GB2312"/>
          <w:b w:val="0"/>
          <w:sz w:val="32"/>
        </w:rPr>
        <w:t>titleurlsourceyear</w:t>
      </w:r>
    </w:p>
    <w:p>
      <w:pPr>
        <w:spacing w:lineRule="exact" w:line="600" w:after="0"/>
        <w:ind w:firstLine="0"/>
      </w:pPr>
      <w:r>
        <w:rPr>
          <w:rFonts w:ascii="仿宋_GB2312" w:hAnsi="仿宋_GB2312" w:eastAsia="仿宋_GB2312"/>
          <w:b w:val="0"/>
          <w:sz w:val="32"/>
        </w:rPr>
        <w:t>titleurlsourceyear</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