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山东枣庄滕州市(煤基精细化工)特色产业集群发展研究报告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枣庄滕州市(煤基精细化工)特色产业集群于2022年经山东省工业和信息化厅认定为省级特色产业集群，位于枣庄滕州市，核心承载区为鲁南高科技化工园区。滕州是国家七大煤化工基地苏鲁豫皖核心区，煤化工底蕴深厚、资源与产业基础扎实。该集群是当地实施工业强区战略、培育新质生产力的重要载体与关键抓手，战略意义突出。</w:t>
      </w:r>
    </w:p>
    <w:p>
      <w:pPr>
        <w:spacing w:lineRule="exact" w:line="600" w:after="0"/>
        <w:ind w:firstLine="420"/>
      </w:pPr>
      <w:r>
        <w:rPr>
          <w:rFonts w:ascii="仿宋_GB2312" w:hAnsi="仿宋_GB2312" w:eastAsia="仿宋_GB2312"/>
          <w:b w:val="0"/>
          <w:sz w:val="32"/>
        </w:rPr>
        <w:t>集群以煤基基础化工原料、煤基精细化学品、化工新材料下游为主攻方向，聚焦高端化工绿色化、终端化发展方向，做长做优氨基新材料、醇基新材料两大产业链，是滕州打造高端化工新材料产业基地的核心支撑。其发展得到了省市两级在规划编制、资金安排与应用场景上的持续倾斜与系统性支持。区域创新资源与行业龙头企业的空间叠加，构成了集群难以复制的独特发展禀赋优势。</w:t>
      </w:r>
    </w:p>
    <w:p>
      <w:pPr>
        <w:spacing w:lineRule="exact" w:line="600" w:after="0"/>
        <w:ind w:firstLine="420"/>
      </w:pPr>
      <w:r>
        <w:rPr>
          <w:rFonts w:ascii="仿宋_GB2312" w:hAnsi="仿宋_GB2312" w:eastAsia="仿宋_GB2312"/>
          <w:b w:val="0"/>
          <w:sz w:val="32"/>
        </w:rPr>
        <w:t>鲁南高科技化工园区面积27.72平方公里，2018年获评省级化工园区、山东省首批绿色园区，拥有国家级绿色工厂2家、省级绿色工厂1家。集群是滕州继中小数控机床后的第二个省级特色产业集群，区域标识鲜明。区域创新资源与行业龙头企业的空间叠加，构成了集群难以复制的独特发展禀赋优势。该集群是当地实施工业强区战略、培育新质生产力的重要载体与关键抓手，战略意义突出。</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集群内现有企业130家，其中化工企业40家，从业人员1.6万人，累计完成固定资产投资630亿元，年产各类化工产品500万吨，实现销售收入228亿元、利润51亿元、税收8亿元，规模在省内煤化工集群中位居前列。上述规模数据直观反映了集聚区在龙头企业总部经济强力拉动下的快速扩张总体态势。下一步应当更加注重规模增长的质量成色与本地实体经济的真实贡献占比。</w:t>
      </w:r>
    </w:p>
    <w:p>
      <w:pPr>
        <w:spacing w:lineRule="exact" w:line="600" w:after="0"/>
        <w:ind w:firstLine="420"/>
      </w:pPr>
      <w:r>
        <w:rPr>
          <w:rFonts w:ascii="仿宋_GB2312" w:hAnsi="仿宋_GB2312" w:eastAsia="仿宋_GB2312"/>
          <w:b w:val="0"/>
          <w:sz w:val="32"/>
        </w:rPr>
        <w:t>鲁南高科技化工园区2022年规模以上工业总产值252亿元，2025年园区实现产值258亿元；滕州十四五规划提出到2026年园区规上工业总产值达650亿元，工业倍增目标明确，增长势头强劲。下一步应当更加注重规模增长的质量成色与本地实体经济的真实贡献占比。产业规模的持续壮大，为区域就业、财政税收与上下游关联产业提供了有力支撑。</w:t>
      </w:r>
    </w:p>
    <w:p>
      <w:pPr>
        <w:spacing w:lineRule="exact" w:line="600" w:after="0"/>
        <w:ind w:firstLine="420"/>
      </w:pPr>
      <w:r>
        <w:rPr>
          <w:rFonts w:ascii="仿宋_GB2312" w:hAnsi="仿宋_GB2312" w:eastAsia="仿宋_GB2312"/>
          <w:b w:val="0"/>
          <w:sz w:val="32"/>
        </w:rPr>
        <w:t>初步估算，煤基精细化工是滕州化机锂医数五大主导产业的重要板块，鲁南化工、联泓新科两家链主2022年营收双破百亿。集群产值占滕州规上工业比重持续提升，成为拉动工业企稳回升的关键支撑。产业规模的持续壮大，为区域就业、财政税收与上下游关联产业提供了有力支撑。上述规模数据直观反映了集聚区在龙头企业总部经济强力拉动下的快速扩张总体态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煤基基础化工原料：以甲醇、合成氨、醋酸等为基础，鲁南化工拥有国内单套最大己内酰胺装置，聚甲醛和醋酸产能分居全国第二、第三位，构成集群上游原料与产能基础。三大主导产业相互嵌套、彼此赋能，共同构成了相对完整的产业生态体系。平台、产品与装备三者协同发力，是集群区别于单纯制造型集群的鲜明关键特征。三大主导产业相互嵌套、彼此赋能，共同构成了相对完整的产业生态体系。</w:t>
      </w:r>
    </w:p>
    <w:p>
      <w:pPr>
        <w:spacing w:lineRule="exact" w:line="600" w:after="0"/>
        <w:ind w:firstLine="420"/>
      </w:pPr>
      <w:r>
        <w:rPr>
          <w:rFonts w:ascii="仿宋_GB2312" w:hAnsi="仿宋_GB2312" w:eastAsia="仿宋_GB2312"/>
          <w:b w:val="0"/>
          <w:sz w:val="32"/>
        </w:rPr>
        <w:t>煤基精细化学品：依托甲醇、醋酸等原料梯次深加工，发展聚甲醛、尼龙6（聚酰胺6切片）、辛醇、EVA等中高端产品；联泓新科EVA光伏胶膜料、电线电缆料、PP薄壁注塑专用料细分市占率领跑，精细化学品附加值高。平台、产品与装备三者协同发力，是集群区别于单纯制造型集群的鲜明关键特征。主导产业的清晰分工与定位，有利于精准施策与产业链条向纵深方向拓展延伸。</w:t>
      </w:r>
    </w:p>
    <w:p>
      <w:pPr>
        <w:spacing w:lineRule="exact" w:line="600" w:after="0"/>
        <w:ind w:firstLine="420"/>
      </w:pPr>
      <w:r>
        <w:rPr>
          <w:rFonts w:ascii="仿宋_GB2312" w:hAnsi="仿宋_GB2312" w:eastAsia="仿宋_GB2312"/>
          <w:b w:val="0"/>
          <w:sz w:val="32"/>
        </w:rPr>
        <w:t>化工新材料下游：以氨基新材料、醇基新材料两大产业链为核心，向光伏胶膜、生物可降解材料、新能源材料、高端聚烯烃延伸，产品附加值较基础原料提升十倍，是集群向价值链高端攀升的主攻方向。主导产业的清晰分工与定位，有利于精准施策与产业链条向纵深方向拓展延伸。三大主导产业相互嵌套、彼此赋能，共同构成了相对完整的产业生态体系。</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看，集群已形成煤炭到甲醇、合成氨、醋酸到聚甲醛、尼龙6、EVA等新材料相对完整的链条。上游为煤炭气化与基础原料；中游为氨基、醇基中间体；下游为工程塑料、光伏材料、可降解材料等，链条衔接较顺畅。总体看，集群产业链已具雏形，但高端环节本地配套仍是后续发力的重点方向。产业链的横向协同与纵向贯通程度，从根本上决定了集群整体效率与竞争力。</w:t>
      </w:r>
    </w:p>
    <w:p>
      <w:pPr>
        <w:spacing w:lineRule="exact" w:line="600" w:after="0"/>
        <w:ind w:firstLine="420"/>
      </w:pPr>
      <w:r>
        <w:rPr>
          <w:rFonts w:ascii="仿宋_GB2312" w:hAnsi="仿宋_GB2312" w:eastAsia="仿宋_GB2312"/>
          <w:b w:val="0"/>
          <w:sz w:val="32"/>
        </w:rPr>
        <w:t>园区可生产聚甲醛、聚酰胺6切片、EVA、EOD等30余种上下游产品，各类产品总产能超600万吨，企业要素互补、技术协同，基本形成企业上下配套、产品链条环环相扣的高质量发展格局。产业链的横向协同与纵向贯通程度，从根本上决定了集群整体效率与竞争力。应以链主企业为核心节点，推动上下游企业在区内的就近配套与紧密协作联动。</w:t>
      </w:r>
    </w:p>
    <w:p>
      <w:pPr>
        <w:spacing w:lineRule="exact" w:line="600" w:after="0"/>
        <w:ind w:firstLine="420"/>
      </w:pPr>
      <w:r>
        <w:rPr>
          <w:rFonts w:ascii="仿宋_GB2312" w:hAnsi="仿宋_GB2312" w:eastAsia="仿宋_GB2312"/>
          <w:b w:val="0"/>
          <w:sz w:val="32"/>
        </w:rPr>
        <w:t>需重点关注，部分高端催化剂、专用助剂仍依赖外部，但总体看已具备从原煤到新材料的闭环能力。依托两大链主延链育群，链条完整度稳步提升，为自主可控的产业生态奠定基础。应以链主企业为核心节点，推动上下游企业在区内的就近配套与紧密协作联动。总体看，集群产业链已具雏形，但高端环节本地配套仍是后续发力的重点方向。</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产业链短板集中在高附加值终端与应用端。部分高端专用化学品、关键催化剂、电子级化学品仍依赖外购或省外供给，本地企业以基础原料与通用材料为主，产品附加值提升空间大，是补链重点。补齐上述短板，是提升集群产业韧性与关键技术自主可控能力的当务之急所在。针对短板环节开展定向招商与联合攻关，可有效缩短配套半径与订单响应时间。</w:t>
      </w:r>
    </w:p>
    <w:p>
      <w:pPr>
        <w:spacing w:lineRule="exact" w:line="600" w:after="0"/>
        <w:ind w:firstLine="420"/>
      </w:pPr>
      <w:r>
        <w:rPr>
          <w:rFonts w:ascii="仿宋_GB2312" w:hAnsi="仿宋_GB2312" w:eastAsia="仿宋_GB2312"/>
          <w:b w:val="0"/>
          <w:sz w:val="32"/>
        </w:rPr>
        <w:t>研发设计与应用技术配套相对薄弱，中试放大、检测认证能力不均；部分装置能耗与煤耗偏高，在双碳双控下转型压力较大，制约产业链安全与竞争力。针对短板环节开展定向招商与联合攻关，可有效缩短配套半径与订单响应时间。应设立专项攻关推进机制，集中力量突破制约产业链安全运行的各类关键瓶颈。针对短板环节开展定向招商与联合攻关，可有效缩短配套半径与订单响应时间。</w:t>
      </w:r>
    </w:p>
    <w:p>
      <w:pPr>
        <w:spacing w:lineRule="exact" w:line="600" w:after="0"/>
        <w:ind w:firstLine="420"/>
      </w:pPr>
      <w:r>
        <w:rPr>
          <w:rFonts w:ascii="仿宋_GB2312" w:hAnsi="仿宋_GB2312" w:eastAsia="仿宋_GB2312"/>
          <w:b w:val="0"/>
          <w:sz w:val="32"/>
        </w:rPr>
        <w:t>产业链协同数字化、智慧化水平有待提升，中小企业与链主间信息系统对接不充分。需通过公共平台与产业互联网深化上下游协同，补齐研发服务与数据链短板。应设立专项攻关推进机制，集中力量突破制约产业链安全运行的各类关键瓶颈。补齐上述短板，是提升集群产业韧性与关键技术自主可控能力的当务之急所在。应设立专项攻关推进机制，集中力量突破制约产业链安全运行的各类关键瓶颈。</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看，集群目前以基础化工原料与中游材料制造为主，处于全球化工价值链的中游。煤炭资源与规模化制造构成成本优势，但研发设计与终端品牌服务端附加值偏低，微笑曲线两端仍有提升空间。提升价值链位势，需要持续向研发设计与运营服务两端延伸拓展能力。避免陷入低附加值环节的同质化竞争，是集群保持长期竞争优势的重要前提。</w:t>
      </w:r>
    </w:p>
    <w:p>
      <w:pPr>
        <w:spacing w:lineRule="exact" w:line="600" w:after="0"/>
        <w:ind w:firstLine="420"/>
      </w:pPr>
      <w:r>
        <w:rPr>
          <w:rFonts w:ascii="仿宋_GB2312" w:hAnsi="仿宋_GB2312" w:eastAsia="仿宋_GB2312"/>
          <w:b w:val="0"/>
          <w:sz w:val="32"/>
        </w:rPr>
        <w:t>联泓新科光伏级EVA打破国外垄断、鲁南化工向高端醇基新材料升级，标志部分环节向价值链上游攀升；产品附加值较基础原料提升十倍，下游新材料环节附加值跃升明显。避免陷入低附加值环节的同质化竞争，是集群保持长期竞争优势的重要前提。应以数据要素深度赋能，系统提升全链条的价值创造能力与价值捕获能力。避免陷入低附加值环节的同质化竞争，是集群保持长期竞争优势的重要前提。</w:t>
      </w:r>
    </w:p>
    <w:p>
      <w:pPr>
        <w:spacing w:lineRule="exact" w:line="600" w:after="0"/>
        <w:ind w:firstLine="420"/>
      </w:pPr>
      <w:r>
        <w:rPr>
          <w:rFonts w:ascii="仿宋_GB2312" w:hAnsi="仿宋_GB2312" w:eastAsia="仿宋_GB2312"/>
          <w:b w:val="0"/>
          <w:sz w:val="32"/>
        </w:rPr>
        <w:t>总体看，集群正由基础粗放加工向全链融合发展转型，价值链向服务端延伸。需强化原创配方与系统集成能力，提升在全球价值链中的分配地位。应以数据要素深度赋能，系统提升全链条的价值创造能力与价值捕获能力。提升价值链位势，需要持续向研发设计与运营服务两端延伸拓展能力。应以数据要素深度赋能，系统提升全链条的价值创造能力与价值捕获能力。</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分工呈现链主引领加专精特新配套格局。鲁南化工、联泓新科两大链主专注氨基、醇基新材料与高端化学品；中小配套企业承担气体、助剂、环保、装备等，形成专业化分工协作网络。合理的产业分工格局，有助于避免重复建设与区内的同质化无序竞争。应强化当地在总部、研发端的突出优势，把制造环节有序承接落地。合理的产业分工格局，有助于避免重复建设与区内的同质化无序竞争。</w:t>
      </w:r>
    </w:p>
    <w:p>
      <w:pPr>
        <w:spacing w:lineRule="exact" w:line="600" w:after="0"/>
        <w:ind w:firstLine="420"/>
      </w:pPr>
      <w:r>
        <w:rPr>
          <w:rFonts w:ascii="仿宋_GB2312" w:hAnsi="仿宋_GB2312" w:eastAsia="仿宋_GB2312"/>
          <w:b w:val="0"/>
          <w:sz w:val="32"/>
        </w:rPr>
        <w:t>在空间分工上，鲁南高科技化工园区集中布局气化、合成与深加工；周边集聚配套企业，形成核心园区引领、专业配套支撑的地理分工，隔墙生产降低配套半径与交易成本。应强化当地在总部、研发端的突出优势，把制造环节有序承接落地。跨区域的分工协作，应与本地配套能力建设统筹推进、形成良性互动。应强化当地在总部、研发端的突出优势，把制造环节有序承接落地。</w:t>
      </w:r>
    </w:p>
    <w:p>
      <w:pPr>
        <w:spacing w:lineRule="exact" w:line="600" w:after="0"/>
        <w:ind w:firstLine="420"/>
      </w:pPr>
      <w:r>
        <w:rPr>
          <w:rFonts w:ascii="仿宋_GB2312" w:hAnsi="仿宋_GB2312" w:eastAsia="仿宋_GB2312"/>
          <w:b w:val="0"/>
          <w:sz w:val="32"/>
        </w:rPr>
        <w:t>从协作看，链主通过订单与技术牵引带动配套升级，配套企业就近供货。行业组织推动标准互认、产能共享，既提高专业化效率，也增强产业链抗风险能力。跨区域的分工协作，应与本地配套能力建设统筹推进、形成良性互动。合理的产业分工格局，有助于避免重复建设与区内的同质化无序竞争。跨区域的分工协作，应与本地配套能力建设统筹推进、形成良性互动。</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龙头引领、中小集聚的金字塔结构。鲁南化工、联泓新科为百亿级链主；集群内企业130家、化工企业40家，规上化工企业25家，中小企业是配套主力，构成数量主体。优化规模结构，重点在于壮大腰部企业与规模以上工业企业的总体数量。应建立企业梯次培育动态库，实施差异化、精准化的分类扶持政策。优化规模结构，重点在于壮大腰部企业与规模以上工业企业的总体数量。</w:t>
      </w:r>
    </w:p>
    <w:p>
      <w:pPr>
        <w:spacing w:lineRule="exact" w:line="600" w:after="0"/>
        <w:ind w:firstLine="420"/>
      </w:pPr>
      <w:r>
        <w:rPr>
          <w:rFonts w:ascii="仿宋_GB2312" w:hAnsi="仿宋_GB2312" w:eastAsia="仿宋_GB2312"/>
          <w:b w:val="0"/>
          <w:sz w:val="32"/>
        </w:rPr>
        <w:t>据公开数据，园区拥有省级专精特新企业12家、省级单项冠军1家，培育2家百亿级龙头，建成20余条完整化工产业链，中小企业专业化水平较高，质量结构优于一般县域集群。应建立企业梯次培育动态库，实施差异化、精准化的分类扶持政策。规模结构的持续改善将直接增强集群抵御外部宏观冲击的整体能力。应建立企业梯次培育动态库，实施差异化、精准化的分类扶持政策。</w:t>
      </w:r>
    </w:p>
    <w:p>
      <w:pPr>
        <w:spacing w:lineRule="exact" w:line="600" w:after="0"/>
        <w:ind w:firstLine="420"/>
      </w:pPr>
      <w:r>
        <w:rPr>
          <w:rFonts w:ascii="仿宋_GB2312" w:hAnsi="仿宋_GB2312" w:eastAsia="仿宋_GB2312"/>
          <w:b w:val="0"/>
          <w:sz w:val="32"/>
        </w:rPr>
        <w:t>初步估算，集群年销售收入228亿元（集群口径），其中链主贡献大部分份额，中小企业以配套供货分享红利。这种大而强加小而精结构，既保证规模支撑，又保持创新活力，是集群韧性的重要来源。规模结构的持续改善将直接增强集群抵御外部宏观冲击的整体能力。优化规模结构，重点在于壮大腰部企业与规模以上工业企业的总体数量。</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从产权结构看，集群以国有控股与民营资本并存、混合所有制活跃。鲁南化工为山东能源集团国有控股；联泓新科为民营控股上市公司；新能凤凰等为混合所有制，产权多元且活力较强。多元产权共生共荣，有利于形成既有运行秩序又富创新活力的产业氛围。应鼓励国企与民企在技术创新与市场拓展上加强协同与优势互补。多元产权共生共荣，有利于形成既有运行秩序又富创新活力的产业氛围。</w:t>
      </w:r>
    </w:p>
    <w:p>
      <w:pPr>
        <w:spacing w:lineRule="exact" w:line="600" w:after="0"/>
        <w:ind w:firstLine="420"/>
      </w:pPr>
      <w:r>
        <w:rPr>
          <w:rFonts w:ascii="仿宋_GB2312" w:hAnsi="仿宋_GB2312" w:eastAsia="仿宋_GB2312"/>
          <w:b w:val="0"/>
          <w:sz w:val="32"/>
        </w:rPr>
        <w:t>国有平台在园区开发、基础设施中发挥引导作用，投资57.2亿元实施园区基础设施综合提升；民营企业在制造与配套环节占主导，市场化程度高、反应迅速。应鼓励国企与民企在技术创新与市场拓展上加强协同与优势互补。产权结构的持续优化，有助于提升资源配置效率与产业运行内在韧性。应鼓励国企与民企在技术创新与市场拓展上加强协同与优势互补。</w:t>
      </w:r>
    </w:p>
    <w:p>
      <w:pPr>
        <w:spacing w:lineRule="exact" w:line="600" w:after="0"/>
        <w:ind w:firstLine="420"/>
      </w:pPr>
      <w:r>
        <w:rPr>
          <w:rFonts w:ascii="仿宋_GB2312" w:hAnsi="仿宋_GB2312" w:eastAsia="仿宋_GB2312"/>
          <w:b w:val="0"/>
          <w:sz w:val="32"/>
        </w:rPr>
        <w:t>总体看，集群产权结构呈现国资引领、民营活跃、多元共生的特征，有利于引入技术、资本与管理。需进一步完善要素市场化配置，激发各类主体活力，优化抗风险能力。产权结构的持续优化，有助于提升资源配置效率与产业运行内在韧性。多元产权共生共荣，有利于形成既有运行秩序又富创新活力的产业氛围。产权结构的持续优化，有助于提升资源配置效率与产业运行内在韧性。</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鲁南化工是集群绝对链主，山东能源集团旗下，2021年营收突破126亿元、跻身中国石化百强第37位，拥有国内单套最大己内酰胺装置，聚甲醛、醋酸产能分居全国第二、第三，是省十强产业集群领军企业与高端化工链主。头部企业的辐射带动力，是衡量一个集群能级高低的重要标志之一。应支持头部企业开放应用场景与采购订单，带动配套企业共同成长。</w:t>
      </w:r>
    </w:p>
    <w:p>
      <w:pPr>
        <w:spacing w:lineRule="exact" w:line="600" w:after="0"/>
        <w:ind w:firstLine="420"/>
      </w:pPr>
      <w:r>
        <w:rPr>
          <w:rFonts w:ascii="仿宋_GB2312" w:hAnsi="仿宋_GB2312" w:eastAsia="仿宋_GB2312"/>
          <w:b w:val="0"/>
          <w:sz w:val="32"/>
        </w:rPr>
        <w:t>联泓新科是新材料产品与解决方案供应商，EVA光伏胶膜料、电线电缆料、PP薄壁注塑专用料细分市占率领跑，2020年深交所上市、市值曾破千亿，获全球新能源企业500强，是集群新材料龙头。应支持头部企业开放应用场景与采购订单，带动配套企业共同成长。培育更多市场化头部企业，可进一步优化集群整体的企业生态结构。</w:t>
      </w:r>
    </w:p>
    <w:p>
      <w:pPr>
        <w:spacing w:lineRule="exact" w:line="600" w:after="0"/>
        <w:ind w:firstLine="420"/>
      </w:pPr>
      <w:r>
        <w:rPr>
          <w:rFonts w:ascii="仿宋_GB2312" w:hAnsi="仿宋_GB2312" w:eastAsia="仿宋_GB2312"/>
          <w:b w:val="0"/>
          <w:sz w:val="32"/>
        </w:rPr>
        <w:t>新能凤凰等骨干企业及聚合顺、中峰化学、鲁化森萱等配套企业覆盖气体、聚酰胺、助剂等领域，构成多支点企业矩阵，支撑产业链协同与集群能级提升。培育更多市场化头部企业，可进一步优化集群整体的企业生态结构。头部企业的辐射带动力，是衡量一个集群能级高低的重要标志之一。培育更多市场化头部企业，可进一步优化集群整体的企业生态结构。</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在空间上高度集聚于鲁南高科技化工园区（木石镇），并沿园区形成配套产业带，地理邻近降低配套半径与交易成本。园区推行统一公用配套、统一环保治理、统一安全管控，形成圈层集聚。集聚度的提升，必须与配套深度的提升同步推进方能真正见效。应防止企业物理集聚而业务松散，强化产业链条的内在有机联系。集聚度的提升，必须与配套深度的提升同步推进方能真正见效。</w:t>
      </w:r>
    </w:p>
    <w:p>
      <w:pPr>
        <w:spacing w:lineRule="exact" w:line="600" w:after="0"/>
        <w:ind w:firstLine="420"/>
      </w:pPr>
      <w:r>
        <w:rPr>
          <w:rFonts w:ascii="仿宋_GB2312" w:hAnsi="仿宋_GB2312" w:eastAsia="仿宋_GB2312"/>
          <w:b w:val="0"/>
          <w:sz w:val="32"/>
        </w:rPr>
        <w:t>从行业集聚看，以鲁南化工、联泓新科两大链主为核心，形成氨基、醇基新材料高密度集聚，专业化集聚特征突出，获评省级绿色园区、国家级清洁生产试点与智慧化工园区。应防止企业物理集聚而业务松散，强化产业链条的内在有机联系。园区载体与赋能平台的协同联动，是集聚向真正集群演进的关键所在。应防止企业物理集聚而业务松散，强化产业链条的内在有机联系。</w:t>
      </w:r>
    </w:p>
    <w:p>
      <w:pPr>
        <w:spacing w:lineRule="exact" w:line="600" w:after="0"/>
        <w:ind w:firstLine="420"/>
      </w:pPr>
      <w:r>
        <w:rPr>
          <w:rFonts w:ascii="仿宋_GB2312" w:hAnsi="仿宋_GB2312" w:eastAsia="仿宋_GB2312"/>
          <w:b w:val="0"/>
          <w:sz w:val="32"/>
        </w:rPr>
        <w:t>集群以资源加园区加链主模式形成煤基精细化工集聚网络。煤化工基础与园区载体叠加，提升区域产业整体能级与外部吸引力，成为滕州化工新材料转型的核心平台。园区载体与赋能平台的协同联动，是集聚向真正集群演进的关键所在。集聚度的提升，必须与配套深度的提升同步推进方能真正见效。园区载体与赋能平台的协同联动，是集聚向真正集群演进的关键所在。</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据公开数据，集群骨干企业持续投入研发，鲁南化工、联泓新科建有省级企业技术中心（联泓升级国家级），联合中科院院所、国科控股组建新材料技术创新与产业化联盟，研发投入转化为技术与品质提升。持续稳定的研发投入，是集群保持技术领先与竞争力的根本保障。应引导金融资本与社会资本更多进入早期研发与中试关键环节。持续稳定的研发投入，是集群保持技术领先与竞争力的根本保障。</w:t>
      </w:r>
    </w:p>
    <w:p>
      <w:pPr>
        <w:spacing w:lineRule="exact" w:line="600" w:after="0"/>
        <w:ind w:firstLine="420"/>
      </w:pPr>
      <w:r>
        <w:rPr>
          <w:rFonts w:ascii="仿宋_GB2312" w:hAnsi="仿宋_GB2312" w:eastAsia="仿宋_GB2312"/>
          <w:b w:val="0"/>
          <w:sz w:val="32"/>
        </w:rPr>
        <w:t>初步估算，集群规上企业研发投入强度处于制造业中上水平，专精特新与小巨人企业研发占比高于传统加工企业，在EVA、聚甲醛、醇基新材料领域形成差异化技术积累。应引导金融资本与社会资本更多进入早期研发与中试关键环节。研发投入的结构优化，比单纯增加投入总量更具长远战略意义。应引导金融资本与社会资本更多进入早期研发与中试关键环节。</w:t>
      </w:r>
    </w:p>
    <w:p>
      <w:pPr>
        <w:spacing w:lineRule="exact" w:line="600" w:after="0"/>
        <w:ind w:firstLine="420"/>
      </w:pPr>
      <w:r>
        <w:rPr>
          <w:rFonts w:ascii="仿宋_GB2312" w:hAnsi="仿宋_GB2312" w:eastAsia="仿宋_GB2312"/>
          <w:b w:val="0"/>
          <w:sz w:val="32"/>
        </w:rPr>
        <w:t>需关注中小企业研发投入受订单与成本约束波动较大。建议通过公共研发平台、共享中试线降低创新成本，引导金融资本投向研发环节，稳定提升集群整体研发投入强度与产出效率。研发投入的结构优化，比单纯增加投入总量更具长远战略意义。持续稳定的研发投入，是集群保持技术领先与竞争力的根本保障。研发投入的结构优化，比单纯增加投入总量更具长远战略意义。</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集群累计完成220余项发明专利申请，拥有马德里国际商标1件、省级以上优质品牌与知名品牌产品23个、驰名著名商标8个；联泓新科自主研发光伏级EVA胶膜材料打破国外长期技术垄断。创新产出的数量规模与质量水平，共同反映集群的真实创新活力。应完善成果转化收益分配机制，激发各类主体的创新积极性。</w:t>
      </w:r>
    </w:p>
    <w:p>
      <w:pPr>
        <w:spacing w:lineRule="exact" w:line="600" w:after="0"/>
        <w:ind w:firstLine="420"/>
      </w:pPr>
      <w:r>
        <w:rPr>
          <w:rFonts w:ascii="仿宋_GB2312" w:hAnsi="仿宋_GB2312" w:eastAsia="仿宋_GB2312"/>
          <w:b w:val="0"/>
          <w:sz w:val="32"/>
        </w:rPr>
        <w:t>鲁南化工攻坚DMTO甲醇制烯烃技术，甲醇、醋酸经梯次深加工变为聚甲醛、尼龙6等高端新材料，产品附加值提升十倍；联泓新科EVA细分市占率领跑，体现技术成果的市场转化能力。应完善成果转化收益分配机制，激发各类主体的创新积极性。标志性的重大创新成果，有助于显著提升集群在行业内的话语权。应完善成果转化收益分配机制，激发各类主体的创新积极性。</w:t>
      </w:r>
    </w:p>
    <w:p>
      <w:pPr>
        <w:spacing w:lineRule="exact" w:line="600" w:after="0"/>
        <w:ind w:firstLine="420"/>
      </w:pPr>
      <w:r>
        <w:rPr>
          <w:rFonts w:ascii="仿宋_GB2312" w:hAnsi="仿宋_GB2312" w:eastAsia="仿宋_GB2312"/>
          <w:b w:val="0"/>
          <w:sz w:val="32"/>
        </w:rPr>
        <w:t>总体看，集群创新产出以原料高端化加制品功能化为特征，从配方到产品转化链条初步打通。但原创性、引领性成果仍偏少，需强化基础研究与前沿技术储备，提升创新产出层级。标志性的重大创新成果，有助于显著提升集群在行业内的话语权。创新产出的数量规模与质量水平，共同反映集群的真实创新活力。标志性的重大创新成果，有助于显著提升集群在行业内的话语权。</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中试基地为主体。建有化工新材料中试及产业化基地，打通实验室到生产线转化通道；鲁南化工、联泓新科等技术中心构成研发主力，园区配置研发与检测平台支撑创新。平台之间的协同共享，是放大有限创新投入综合效益的重要路径。应推动创新平台面向中小企业开放，切实降低其创新门槛与成本。平台之间的协同共享，是放大有限创新投入综合效益的重要路径。</w:t>
      </w:r>
    </w:p>
    <w:p>
      <w:pPr>
        <w:spacing w:lineRule="exact" w:line="600" w:after="0"/>
        <w:ind w:firstLine="420"/>
      </w:pPr>
      <w:r>
        <w:rPr>
          <w:rFonts w:ascii="仿宋_GB2312" w:hAnsi="仿宋_GB2312" w:eastAsia="仿宋_GB2312"/>
          <w:b w:val="0"/>
          <w:sz w:val="32"/>
        </w:rPr>
        <w:t>依托新材料技术创新与产业化联盟（中科院、国科控股），深化产学研合作；设立新材料产业专项基金，缓解企业研发与技改资金压力，提升协同创新能力。应推动创新平台面向中小企业开放，切实降低其创新门槛与成本。多层次平台体系的有序布局，为集群创新提供了较为坚实的支撑。应推动创新平台面向中小企业开放，切实降低其创新门槛与成本。</w:t>
      </w:r>
    </w:p>
    <w:p>
      <w:pPr>
        <w:spacing w:lineRule="exact" w:line="600" w:after="0"/>
        <w:ind w:firstLine="420"/>
      </w:pPr>
      <w:r>
        <w:rPr>
          <w:rFonts w:ascii="仿宋_GB2312" w:hAnsi="仿宋_GB2312" w:eastAsia="仿宋_GB2312"/>
          <w:b w:val="0"/>
          <w:sz w:val="32"/>
        </w:rPr>
        <w:t>需补强共性技术平台与概念验证中心，破解中小企业不敢投、不会转难题。建议引入国家级科研院所设分支机构，完善研发、中试、产业化平台链条，提升创新资源可得性与共享度。多层次平台体系的有序布局，为集群创新提供了较为坚实的支撑。平台之间的协同共享，是放大有限创新投入综合效益的重要路径。多层次平台体系的有序布局，为集群创新提供了较为坚实的支撑。</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方面，集群依托企业技术中心加中试基地加产业园体系，将链主技术需求与配套产能高效对接，形成需求牵引、联合攻关、就近配套的转化路径，缩短样品到量产周期。成果转化效率的高低，直接决定研发投入能否变为现实生产力。应以应用场景为牵引，打通从实验室样品到市场商品的转化通道。成果转化效率的高低，直接决定研发投入能否变为现实生产力。</w:t>
      </w:r>
    </w:p>
    <w:p>
      <w:pPr>
        <w:spacing w:lineRule="exact" w:line="600" w:after="0"/>
        <w:ind w:firstLine="420"/>
      </w:pPr>
      <w:r>
        <w:rPr>
          <w:rFonts w:ascii="仿宋_GB2312" w:hAnsi="仿宋_GB2312" w:eastAsia="仿宋_GB2312"/>
          <w:b w:val="0"/>
          <w:sz w:val="32"/>
        </w:rPr>
        <w:t>鲁南化工低碳高效动能转换一体化项目（61.5亿元）采用自主知识产权OMB粉煤气化技术，碳转化率超99%；联泓格润一体化、聚合顺PA6切片等项目隔墙生产，实现产业化落地。应以应用场景为牵引，打通从实验室样品到市场商品的转化通道。强化中试熟化能力，是补齐转化短板、加速科技成果产业化的关键。应以应用场景为牵引，打通从实验室样品到市场商品的转化通道。</w:t>
      </w:r>
    </w:p>
    <w:p>
      <w:pPr>
        <w:spacing w:lineRule="exact" w:line="600" w:after="0"/>
        <w:ind w:firstLine="420"/>
      </w:pPr>
      <w:r>
        <w:rPr>
          <w:rFonts w:ascii="仿宋_GB2312" w:hAnsi="仿宋_GB2312" w:eastAsia="仿宋_GB2312"/>
          <w:b w:val="0"/>
          <w:sz w:val="32"/>
        </w:rPr>
        <w:t>总体看，集群技术转化通道较顺畅，但中试资源分散、工程化能力不均。建议建设共享中试线与成果转化基金，完善知识产权交易与收益分配，提升技术成果本地转化率与附加值。强化中试熟化能力，是补齐转化短板、加速科技成果产业化的关键。成果转化效率的高低，直接决定研发投入能否变为现实生产力。强化中试熟化能力，是补齐转化短板、加速科技成果产业化的关键。</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滕州煤化工产业用工规模较大，依托枣庄完备的职教与技工体系，形成从操作工到工程师的多层次劳动力供给。鲁南化工、联泓新科等提供大量技能与研发岗位，带动本地就业与人才集聚。人力资本的持续积累与结构优化，是集群行稳致远的深层支撑。应完善引才留才政策机制，增强对跨界复合型高端人才的吸引力。人力资本的持续积累与结构优化，是集群行稳致远的深层支撑。</w:t>
      </w:r>
    </w:p>
    <w:p>
      <w:pPr>
        <w:spacing w:lineRule="exact" w:line="600" w:after="0"/>
        <w:ind w:firstLine="420"/>
      </w:pPr>
      <w:r>
        <w:rPr>
          <w:rFonts w:ascii="仿宋_GB2312" w:hAnsi="仿宋_GB2312" w:eastAsia="仿宋_GB2312"/>
          <w:b w:val="0"/>
          <w:sz w:val="32"/>
        </w:rPr>
        <w:t>初步估算，集群从业人员1.6万人，但高端研发、化学工程、复合型数字人才仍相对紧缺，制约价值链向高端攀升。企业普遍反映升级带来结构性用工缺口。应完善引才留才政策机制，增强对跨界复合型高端人才的吸引力。产教融合的深化推进，有助于有效缓解结构性用工矛盾与错配。应完善引才留才政策机制，增强对跨界复合型高端人才的吸引力。</w:t>
      </w:r>
    </w:p>
    <w:p>
      <w:pPr>
        <w:spacing w:lineRule="exact" w:line="600" w:after="0"/>
        <w:ind w:firstLine="420"/>
      </w:pPr>
      <w:r>
        <w:rPr>
          <w:rFonts w:ascii="仿宋_GB2312" w:hAnsi="仿宋_GB2312" w:eastAsia="仿宋_GB2312"/>
          <w:b w:val="0"/>
          <w:sz w:val="32"/>
        </w:rPr>
        <w:t>建议深化产教融合，依托高校与职业院校定向培养化学工程、材料工程、智能制造人才；完善人才公寓、子女教育等配套，提升对高层次人才吸引力，缓解招工难与引才难并存矛盾。产教融合的深化推进，有助于有效缓解结构性用工矛盾与错配。人力资本的持续积累与结构优化，是集群行稳致远的深层支撑。产教融合的深化推进，有助于有效缓解结构性用工矛盾与错配。</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以龙头企业自投、产业基金与社会资本为主。鲁南化工、联泓新科十四五期间系列项目投资超500亿元；园区基础设施投资57.2亿元，撬动社会资本；新材料产业专项基金缓解研发技改压力。资本与产业的良性互动循环，是新兴集群健康成长的重要条件。应丰富科技金融产品供给，精准滴灌早期科创企业与中小企业。资本与产业的良性互动循环，是新兴集群健康成长的重要条件。</w:t>
      </w:r>
    </w:p>
    <w:p>
      <w:pPr>
        <w:spacing w:lineRule="exact" w:line="600" w:after="0"/>
        <w:ind w:firstLine="420"/>
      </w:pPr>
      <w:r>
        <w:rPr>
          <w:rFonts w:ascii="仿宋_GB2312" w:hAnsi="仿宋_GB2312" w:eastAsia="仿宋_GB2312"/>
          <w:b w:val="0"/>
          <w:sz w:val="32"/>
        </w:rPr>
        <w:t>金融支持方面，枣庄及滕州出台金融服务实体经济政策，鼓励银行对专精特新企业授信，创投机构参与配套企业融资。但中小配套企业仍面临抵押不足、融资贵问题，资本获得感不均。应丰富科技金融产品供给，精准滴灌早期科创企业与中小企业。金融资源的高度集聚，为集群重大项目落地提供了坚实资金保障。应丰富科技金融产品供给，精准滴灌早期科创企业与中小企业。</w:t>
      </w:r>
    </w:p>
    <w:p>
      <w:pPr>
        <w:spacing w:lineRule="exact" w:line="600" w:after="0"/>
        <w:ind w:firstLine="420"/>
      </w:pPr>
      <w:r>
        <w:rPr>
          <w:rFonts w:ascii="仿宋_GB2312" w:hAnsi="仿宋_GB2312" w:eastAsia="仿宋_GB2312"/>
          <w:b w:val="0"/>
          <w:sz w:val="32"/>
        </w:rPr>
        <w:t>建议设立化工新材料产业专项基金，推广供应链金融与知识产权质押，畅通中小企业融资渠道；引导长期资本投向研发与技改，优化资本配置效率，支撑集群由规模扩张转向质量提升。金融资源的高度集聚，为集群重大项目落地提供了坚实资金保障。资本与产业的良性互动循环，是新兴集群健康成长的重要条件。金融资源的高度集聚，为集群重大项目落地提供了坚实资金保障。</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空间载体充裕，鲁南高科技化工园区27.72平方公里，推进扩区增容（新增约5平方公里），建成特勤消防站、智慧指挥中心等，为扩产与招商提供空间保障。园区推行集约用地，提升单位土地产出。集约节约高效用地，是当地发展先进制造业的必然现实选择。应通过存量更新与飞地合作等多种方式，拓展产业发展物理空间。集约节约高效用地，是当地发展先进制造业的必然现实选择。</w:t>
      </w:r>
    </w:p>
    <w:p>
      <w:pPr>
        <w:spacing w:lineRule="exact" w:line="600" w:after="0"/>
        <w:ind w:firstLine="420"/>
      </w:pPr>
      <w:r>
        <w:rPr>
          <w:rFonts w:ascii="仿宋_GB2312" w:hAnsi="仿宋_GB2312" w:eastAsia="仿宋_GB2312"/>
          <w:b w:val="0"/>
          <w:sz w:val="32"/>
        </w:rPr>
        <w:t>在能耗与环保约束趋紧背景下，煤化工属双控重点，集群推进绿色制造与节能改造。鲁南化工OMB粉煤气化技术省煤10%以上、碳转化率超99%；需统筹能耗煤耗指标向高效益项目倾斜。应通过存量更新与飞地合作等多种方式，拓展产业发展物理空间。绿色低碳的能耗结构，高度契合集群自身的产业属性与功能定位。应通过存量更新与飞地合作等多种方式，拓展产业发展物理空间。</w:t>
      </w:r>
    </w:p>
    <w:p>
      <w:pPr>
        <w:spacing w:lineRule="exact" w:line="600" w:after="0"/>
        <w:ind w:firstLine="420"/>
      </w:pPr>
      <w:r>
        <w:rPr>
          <w:rFonts w:ascii="仿宋_GB2312" w:hAnsi="仿宋_GB2312" w:eastAsia="仿宋_GB2312"/>
          <w:b w:val="0"/>
          <w:sz w:val="32"/>
        </w:rPr>
        <w:t>建议以亩均效益为导向优化土地配置，盘活闲置用地；争取省级能耗煤耗指标支持，建设绿色低碳园区示范，以绿色低碳提升集群可持续发展能力与要素承载力。绿色低碳的能耗结构，高度契合集群自身的产业属性与功能定位。集约节约高效用地，是当地发展先进制造业的必然现实选择。绿色低碳的能耗结构，高度契合集群自身的产业属性与功能定位。</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核心依托煤炭资源与煤化工基础，滕州地处苏鲁豫皖煤化工核心区，原料供应便捷、成本可控，构成难以复制的资源禀赋。甲醇、合成氨、醋酸等基础原料就地保障，是煤基精细化工的基础。关键材料的本地配套能力，直接关系到供应链安全与成本竞争力。应以数据要素弥补传统要素约束，培育形成新型差异化竞争优势。关键材料的本地配套能力，直接关系到供应链安全与成本竞争力。</w:t>
      </w:r>
    </w:p>
    <w:p>
      <w:pPr>
        <w:spacing w:lineRule="exact" w:line="600" w:after="0"/>
        <w:ind w:firstLine="420"/>
      </w:pPr>
      <w:r>
        <w:rPr>
          <w:rFonts w:ascii="仿宋_GB2312" w:hAnsi="仿宋_GB2312" w:eastAsia="仿宋_GB2312"/>
          <w:b w:val="0"/>
          <w:sz w:val="32"/>
        </w:rPr>
        <w:t>关键高端催化剂、专用助剂与部分设备依赖外部供应链，本地在醇基、氨基材料上具备优势，但电子级、医用级精细化学品原料仍以外购为主，原材料价格波动对成本有影响。应以数据要素弥补传统要素约束，培育形成新型差异化竞争优势。原材料保障能力的持续增强，将提升集群制造端的安全边际水平。应以数据要素弥补传统要素约束，培育形成新型差异化竞争优势。</w:t>
      </w:r>
    </w:p>
    <w:p>
      <w:pPr>
        <w:spacing w:lineRule="exact" w:line="600" w:after="0"/>
        <w:ind w:firstLine="420"/>
      </w:pPr>
      <w:r>
        <w:rPr>
          <w:rFonts w:ascii="仿宋_GB2312" w:hAnsi="仿宋_GB2312" w:eastAsia="仿宋_GB2312"/>
          <w:b w:val="0"/>
          <w:sz w:val="32"/>
        </w:rPr>
        <w:t>建议加强战略供应商管理与联合采购，建立关键材料储备与价格预警；支持本地企业向高端改性、功能化升级，提升原材料本地化与抗波动能力，降低外部依赖风险。原材料保障能力的持续增强，将提升集群制造端的安全边际水平。关键材料的本地配套能力，直接关系到供应链安全与成本竞争力。原材料保障能力的持续增强，将提升集群制造端的安全边际水平。</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是集群主要市场。鲁南化工己内酰胺、聚甲醛、醋酸服务纺织、工程塑料等下游；联泓新科EVA光伏胶膜料受益于新能源装机增长，国内需求旺盛；尼龙6、聚甲醛进入工程塑料供应链。国内超大规模市场为集群提供了广阔且相对稳定的需求基本盘。应推动产品服务标准化模块化，提升跨区域复制与拓展的能力。国内超大规模市场为集群提供了广阔且相对稳定的需求基本盘。</w:t>
      </w:r>
    </w:p>
    <w:p>
      <w:pPr>
        <w:spacing w:lineRule="exact" w:line="600" w:after="0"/>
        <w:ind w:firstLine="420"/>
      </w:pPr>
      <w:r>
        <w:rPr>
          <w:rFonts w:ascii="仿宋_GB2312" w:hAnsi="仿宋_GB2312" w:eastAsia="仿宋_GB2312"/>
          <w:b w:val="0"/>
          <w:sz w:val="32"/>
        </w:rPr>
        <w:t>初步估算，集群内销占主导，受益于新能源、汽车、电子电器行业需求及以旧换新政策，国内需求保持韧性。可降解材料、高端聚烯烃拓展内销空间，内销前景广阔。应推动产品服务标准化模块化，提升跨区域复制与拓展的能力。内需的持续增长态势，是集群规模稳步扩张的坚实需求侧基础。应推动产品服务标准化模块化，提升跨区域复制与拓展的能力。</w:t>
      </w:r>
    </w:p>
    <w:p>
      <w:pPr>
        <w:spacing w:lineRule="exact" w:line="600" w:after="0"/>
        <w:ind w:firstLine="420"/>
      </w:pPr>
      <w:r>
        <w:rPr>
          <w:rFonts w:ascii="仿宋_GB2312" w:hAnsi="仿宋_GB2312" w:eastAsia="仿宋_GB2312"/>
          <w:b w:val="0"/>
          <w:sz w:val="32"/>
        </w:rPr>
        <w:t>需关注石化周期波动对基础原料需求的传导，以及新能源补贴退坡影响。建议深耕高端材料与新兴场景，拓展医药、电子新应用，以差异化产品提升国内市场渗透率。内需的持续增长态势，是集群规模稳步扩张的坚实需求侧基础。国内超大规模市场为集群提供了广阔且相对稳定的需求基本盘。内需的持续增长态势，是集群规模稳步扩张的坚实需求侧基础。</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总体中等。部分化学品、新材料随下游制品出海出口，鲁南化工、联泓新科凭借性价比进入国际市场；但整体以国内配套为主，自主品牌出口比重偏低。提升国际化发展水平，是集群拓展市场边界的重要战略主攻方向。应借力国家战略东风，推动装备、产品与运维服务协同抱团出海。提升国际化发展水平，是集群拓展市场边界的重要战略主攻方向。</w:t>
      </w:r>
    </w:p>
    <w:p>
      <w:pPr>
        <w:spacing w:lineRule="exact" w:line="600" w:after="0"/>
        <w:ind w:firstLine="420"/>
      </w:pPr>
      <w:r>
        <w:rPr>
          <w:rFonts w:ascii="仿宋_GB2312" w:hAnsi="仿宋_GB2312" w:eastAsia="仿宋_GB2312"/>
          <w:b w:val="0"/>
          <w:sz w:val="32"/>
        </w:rPr>
        <w:t>光伏EVA、聚甲醛等高端材料随新能源与制造出海，出口竞争力增强。青岛港与多式联运为出口提供物流支撑，园区通关与危化品储运配套完善。应借力国家战略东风，推动装备、产品与运维服务协同抱团出海。外向度的稳步提高，有助于分散单一市场带来的周期波动风险。应借力国家战略东风，推动装备、产品与运维服务协同抱团出海。</w:t>
      </w:r>
    </w:p>
    <w:p>
      <w:pPr>
        <w:spacing w:lineRule="exact" w:line="600" w:after="0"/>
        <w:ind w:firstLine="420"/>
      </w:pPr>
      <w:r>
        <w:rPr>
          <w:rFonts w:ascii="仿宋_GB2312" w:hAnsi="仿宋_GB2312" w:eastAsia="仿宋_GB2312"/>
          <w:b w:val="0"/>
          <w:sz w:val="32"/>
        </w:rPr>
        <w:t>需关注国际贸易摩擦、汇率波动与认证壁垒影响。建议支持企业布局海外认证与本地化服务，提升自主品牌出口比重，增强外贸韧性与议价能力。外向度的稳步提高，有助于分散单一市场带来的周期波动风险。提升国际化发展水平，是集群拓展市场边界的重要战略主攻方向。外向度的稳步提高，有助于分散单一市场带来的周期波动风险。提升国际化发展水平，是集群拓展市场边界的重要战略主攻方向。</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方面，鲁南化工、联泓新科为集群最强品牌资产，鲁南化工获省长质量奖、联泓新科获全球新能源企业500强，构成原料加新材料双品牌矩阵，区域影响力强。区域品牌与企业品牌应协同发力，形成具有合力的品牌矩阵效应。以标准制定与认证认可提升品牌溢价，是品牌建设的有效路径。区域品牌与企业品牌应协同发力，形成具有合力的品牌矩阵效应。</w:t>
      </w:r>
    </w:p>
    <w:p>
      <w:pPr>
        <w:spacing w:lineRule="exact" w:line="600" w:after="0"/>
        <w:ind w:firstLine="420"/>
      </w:pPr>
      <w:r>
        <w:rPr>
          <w:rFonts w:ascii="仿宋_GB2312" w:hAnsi="仿宋_GB2312" w:eastAsia="仿宋_GB2312"/>
          <w:b w:val="0"/>
          <w:sz w:val="32"/>
        </w:rPr>
        <w:t>配套企业以代工与部件供应为主，自主品牌偏弱，多数以技术品牌切入细分领域。集群整体龙头强、配套弱品牌格局明显，需提升配套环节品牌溢价。以标准制定与认证认可提升品牌溢价，是品牌建设的有效路径。品牌影响力的不断扩大，将增强集群的市场号召力与议价能力。以标准制定与认证认可提升品牌溢价，是品牌建设的有效路径。</w:t>
      </w:r>
    </w:p>
    <w:p>
      <w:pPr>
        <w:spacing w:lineRule="exact" w:line="600" w:after="0"/>
        <w:ind w:firstLine="420"/>
      </w:pPr>
      <w:r>
        <w:rPr>
          <w:rFonts w:ascii="仿宋_GB2312" w:hAnsi="仿宋_GB2312" w:eastAsia="仿宋_GB2312"/>
          <w:b w:val="0"/>
          <w:sz w:val="32"/>
        </w:rPr>
        <w:t>建议实施品牌梯次培育，支持配套企业从OEM向ODM、OBM转型，打造滕州煤基精细化工区域公共品牌；借力省级特色产业集群平台拓展品牌曝光，提升集群品牌能级。品牌影响力的不断扩大，将增强集群的市场号召力与议价能力。区域品牌与企业品牌应协同发力，形成具有合力的品牌矩阵效应。品牌影响力的不断扩大，将增强集群的市场号召力与议价能力。</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高端化、绿色化、功能化趋势。新能源（光伏、锂电、储能）带动EVA、电解液溶剂需求；汽车轻量化提升尼龙6、聚甲醛需求；可降解材料受禁塑政策推动增长。准确把握需求端的结构变化，是集群保持战略主动的重要前提。应以场景创新主动响应需求，形成供需之间的正向良性循环。准确把握需求端的结构变化，是集群保持战略主动的重要前提。</w:t>
      </w:r>
    </w:p>
    <w:p>
      <w:pPr>
        <w:spacing w:lineRule="exact" w:line="600" w:after="0"/>
        <w:ind w:firstLine="420"/>
      </w:pPr>
      <w:r>
        <w:rPr>
          <w:rFonts w:ascii="仿宋_GB2312" w:hAnsi="仿宋_GB2312" w:eastAsia="仿宋_GB2312"/>
          <w:b w:val="0"/>
          <w:sz w:val="32"/>
        </w:rPr>
        <w:t>双碳与双控要求供应链更快响应、更低排放；下游对材料功能化、定制化要求上升，对研发与柔性制造提出更高要求。应以场景创新主动响应需求，形成供需之间的正向良性循环。需求结构的加速升级，为集群业务转型提供了明确清晰的方向。应以场景创新主动响应需求，形成供需之间的正向良性循环。需求结构的加速升级，为集群业务转型提供了明确清晰的方向。</w:t>
      </w:r>
    </w:p>
    <w:p>
      <w:pPr>
        <w:spacing w:lineRule="exact" w:line="600" w:after="0"/>
        <w:ind w:firstLine="420"/>
      </w:pPr>
      <w:r>
        <w:rPr>
          <w:rFonts w:ascii="仿宋_GB2312" w:hAnsi="仿宋_GB2312" w:eastAsia="仿宋_GB2312"/>
          <w:b w:val="0"/>
          <w:sz w:val="32"/>
        </w:rPr>
        <w:t>建议企业强化用户洞察与敏捷开发，布局低碳、生物基、功能化产品线；集群层面建设需求信息共享平台，引导配套企业前瞻调整产能与工艺，提升对需求端变化的适配能力。需求结构的加速升级，为集群业务转型提供了明确清晰的方向。准确把握需求端的结构变化，是集群保持战略主动的重要前提。需求结构的加速升级，为集群业务转型提供了明确清晰的方向。</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区域竞争方面，山东煤化工形成枣庄（滕州）、济宁、菏泽等多点布局，滕州凭借鲁南化工、联泓新科双链主在煤基精细化工与新材料领域优势突出。但与宁波、上海等石化高地相比，在高端制品总量仍有差距。错位发展、优势互补，是应对日趋激烈区域竞争的现实理性选择。应把总部研发的独特优势转化为难以复制模仿的竞争护城河。错位发展、优势互补，是应对日趋激烈区域竞争的现实理性选择。</w:t>
      </w:r>
    </w:p>
    <w:p>
      <w:pPr>
        <w:spacing w:lineRule="exact" w:line="600" w:after="0"/>
        <w:ind w:firstLine="420"/>
      </w:pPr>
      <w:r>
        <w:rPr>
          <w:rFonts w:ascii="仿宋_GB2312" w:hAnsi="仿宋_GB2312" w:eastAsia="仿宋_GB2312"/>
          <w:b w:val="0"/>
          <w:sz w:val="32"/>
        </w:rPr>
        <w:t>省内看，滕州与周边区市在煤化工、新材料上存在同质化竞争，需以差异化定位避免内耗。滕州以氨基加醇基双链协同构筑壁垒，省级煤基精细化工集群形成独特标识。应把总部研发的独特优势转化为难以复制模仿的竞争护城河。区域协同联动优于零和博弈竞争，应积极寻求跨区域的联动共赢。应把总部研发的独特优势转化为难以复制模仿的竞争护城河。</w:t>
      </w:r>
    </w:p>
    <w:p>
      <w:pPr>
        <w:spacing w:lineRule="exact" w:line="600" w:after="0"/>
        <w:ind w:firstLine="420"/>
      </w:pPr>
      <w:r>
        <w:rPr>
          <w:rFonts w:ascii="仿宋_GB2312" w:hAnsi="仿宋_GB2312" w:eastAsia="仿宋_GB2312"/>
          <w:b w:val="0"/>
          <w:sz w:val="32"/>
        </w:rPr>
        <w:t>建议强化资源加园区双轮驱动，突出在光伏EVA、醇基新材料的错位优势，打造全国煤基精细化工与新材料高地，以特色竞争力应对区域同质化竞争。区域协同联动优于零和博弈竞争，应积极寻求跨区域的联动共赢。错位发展、优势互补，是应对日趋激烈区域竞争的现实理性选择。区域协同联动优于零和博弈竞争，应积极寻求跨区域的联动共赢。</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看，集群资源强、研发弱结构突出，中小企业多处于原料与通用材料环节，研发与品牌能力弱，抗风险与议价不足。高端催化剂、电子级化学品仍依赖外购，产业链附加值有待提升。内部结构性矛盾的系统性破解，需要系统思维与久久为功的韧劲。应把做实做厚制造与核心产出，作为推动高质量发展的着力点。内部结构性矛盾的系统性破解，需要系统思维与久久为功的韧劲。</w:t>
      </w:r>
    </w:p>
    <w:p>
      <w:pPr>
        <w:spacing w:lineRule="exact" w:line="600" w:after="0"/>
        <w:ind w:firstLine="420"/>
      </w:pPr>
      <w:r>
        <w:rPr>
          <w:rFonts w:ascii="仿宋_GB2312" w:hAnsi="仿宋_GB2312" w:eastAsia="仿宋_GB2312"/>
          <w:b w:val="0"/>
          <w:sz w:val="32"/>
        </w:rPr>
        <w:t>创新资源分布不均，链主平台开放度有限，中小企业获取技术溢出不充分；中试、检测等公共服务供给不足，制约配套企业升级。人才结构性短缺影响价值链攀升。应把做实做厚制造与核心产出，作为推动高质量发展的着力点。打通内部循环堵点，是提升集群整体运行效能的关键所在环节。应把做实做厚制造与核心产出，作为推动高质量发展的着力点。</w:t>
      </w:r>
    </w:p>
    <w:p>
      <w:pPr>
        <w:spacing w:lineRule="exact" w:line="600" w:after="0"/>
        <w:ind w:firstLine="420"/>
      </w:pPr>
      <w:r>
        <w:rPr>
          <w:rFonts w:ascii="仿宋_GB2312" w:hAnsi="仿宋_GB2312" w:eastAsia="仿宋_GB2312"/>
          <w:b w:val="0"/>
          <w:sz w:val="32"/>
        </w:rPr>
        <w:t>煤化工属双控重点，环保与能耗压力渐显。建议以专精特新培育提升配套质量，推动链主平台能力开放，补强公共创新与人才服务，破解内部结构性矛盾。打通内部循环堵点，是提升集群整体运行效能的关键所在环节。内部结构性矛盾的系统性破解，需要系统思维与久久为功的韧劲。打通内部循环堵点，是提升集群整体运行效能的关键所在环节。</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市场与政策两端。石化周期下行拖累基础原料需求；双碳双控与环保政策趋严增加合规成本；关键催化剂与设备进口依赖在供应链扰动时形成断供风险。前瞻识别并研判外部风险，有助于守住集群平稳发展的安全底线。应以多元供应体系与自主可控能力，增强产业链的抗冲击韧性。前瞻识别并研判外部风险，有助于守住集群平稳发展的安全底线。</w:t>
      </w:r>
    </w:p>
    <w:p>
      <w:pPr>
        <w:spacing w:lineRule="exact" w:line="600" w:after="0"/>
        <w:ind w:firstLine="420"/>
      </w:pPr>
      <w:r>
        <w:rPr>
          <w:rFonts w:ascii="仿宋_GB2312" w:hAnsi="仿宋_GB2312" w:eastAsia="仿宋_GB2312"/>
          <w:b w:val="0"/>
          <w:sz w:val="32"/>
        </w:rPr>
        <w:t>技术迭代加速，若本地企业在光伏材料、生物基前沿布局滞后，可能被边缘化。原材料与能源价格波动挤压利润，对中小配套企业冲击更大。应以多元供应体系与自主可控能力，增强产业链的抗冲击韧性。建立健全风险监测预警机制，是稳健发展的重要保障性举措。应以多元供应体系与自主可控能力，增强产业链的抗冲击韧性。建立健全风险监测预警机制，是稳健发展的重要保障性举措。</w:t>
      </w:r>
    </w:p>
    <w:p>
      <w:pPr>
        <w:spacing w:lineRule="exact" w:line="600" w:after="0"/>
        <w:ind w:firstLine="420"/>
      </w:pPr>
      <w:r>
        <w:rPr>
          <w:rFonts w:ascii="仿宋_GB2312" w:hAnsi="仿宋_GB2312" w:eastAsia="仿宋_GB2312"/>
          <w:b w:val="0"/>
          <w:sz w:val="32"/>
        </w:rPr>
        <w:t>建议建立供应链风险预警与关键物料储备机制，支持企业技术备胎与国产替代；用好新能源与绿色转型机遇对冲风险，提升集群整体抗外部冲击能力。建立健全风险监测预警机制，是稳健发展的重要保障性举措。前瞻识别并研判外部风险，有助于守住集群平稳发展的安全底线。建立健全风险监测预警机制，是稳健发展的重要保障性举措。前瞻识别并研判外部风险，有助于守住集群平稳发展的安全底线。</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层面，集群契合山东省十强产业中高端化工部署，并纳入滕州十四五规划与枣庄强工兴产、项目突破四年攻坚，省级特色产业集群认定（2022年）给予品牌与政策支持，省级绿色园区提供平台红利。国家、省、市多层次政策叠加，为集群营造了难得的发展窗口期。应抓紧把政策红利转化为具体的重大项目与实实在在的产业增量。</w:t>
      </w:r>
    </w:p>
    <w:p>
      <w:pPr>
        <w:spacing w:lineRule="exact" w:line="600" w:after="0"/>
        <w:ind w:firstLine="420"/>
      </w:pPr>
      <w:r>
        <w:rPr>
          <w:rFonts w:ascii="仿宋_GB2312" w:hAnsi="仿宋_GB2312" w:eastAsia="仿宋_GB2312"/>
          <w:b w:val="0"/>
          <w:sz w:val="32"/>
        </w:rPr>
        <w:t>鲁南高科技化工园区工业倍增实施方案提出到2026年规上工业总产值达650亿元；滕州化机锂医数五大主导产业营收突破900亿元，享受区域协同与政策倾斜。应抓紧把政策红利转化为具体的重大项目与实实在在的产业增量。顶层政策环境的稳定性与连续性，增强了各类主体的长期稳定预期。应抓紧把政策红利转化为具体的重大项目与实实在在的产业增量。</w:t>
      </w:r>
    </w:p>
    <w:p>
      <w:pPr>
        <w:spacing w:lineRule="exact" w:line="600" w:after="0"/>
        <w:ind w:firstLine="420"/>
      </w:pPr>
      <w:r>
        <w:rPr>
          <w:rFonts w:ascii="仿宋_GB2312" w:hAnsi="仿宋_GB2312" w:eastAsia="仿宋_GB2312"/>
          <w:b w:val="0"/>
          <w:sz w:val="32"/>
        </w:rPr>
        <w:t>建议用足用好各级政策工具箱，将集群纳入省级链长制重点产业链，争取更多专项与试点，形成国家加省加市政策叠加效应，强化顶层政策对集群的牵引力。顶层政策环境的稳定性与连续性，增强了各类主体的长期稳定预期。国家、省、市多层次政策叠加，为集群营造了难得的发展窗口期。顶层政策环境的稳定性与连续性，增强了各类主体的长期稳定预期。</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方面，滕州实施工业倍增与项目突破，对鲁南化工、联泓新科两大链主给予要素保障与一企一策；投资57.2亿元提升园区基础设施，对专精特新、单项冠军给予奖励与梯次培育。政策的可及性与执行力强弱，直接决定了扶持举措的实际成效。应围绕企业全生命周期，提供精准化、套餐式的政策服务包。政策的可及性与执行力强弱，直接决定了扶持举措的实际成效。</w:t>
      </w:r>
    </w:p>
    <w:p>
      <w:pPr>
        <w:spacing w:lineRule="exact" w:line="600" w:after="0"/>
        <w:ind w:firstLine="420"/>
      </w:pPr>
      <w:r>
        <w:rPr>
          <w:rFonts w:ascii="仿宋_GB2312" w:hAnsi="仿宋_GB2312" w:eastAsia="仿宋_GB2312"/>
          <w:b w:val="0"/>
          <w:sz w:val="32"/>
        </w:rPr>
        <w:t>在用地、融资、人才、招商等方面提供精准服务，推行重大项目专班制、重点项目专员制与全生命周期服务；联泓锂电材料碳酸酯项目当年开工当年投产，刷新建设速度。应围绕企业全生命周期，提供精准化、套餐式的政策服务包。地方扶持的系统性协同推进，有助于形成产业发展的强大合力。应围绕企业全生命周期，提供精准化、套餐式的政策服务包。</w:t>
      </w:r>
    </w:p>
    <w:p>
      <w:pPr>
        <w:spacing w:lineRule="exact" w:line="600" w:after="0"/>
        <w:ind w:firstLine="420"/>
      </w:pPr>
      <w:r>
        <w:rPr>
          <w:rFonts w:ascii="仿宋_GB2312" w:hAnsi="仿宋_GB2312" w:eastAsia="仿宋_GB2312"/>
          <w:b w:val="0"/>
          <w:sz w:val="32"/>
        </w:rPr>
        <w:t>建议持续优化营商环境，推行标准地加承诺制改革，提升项目落地效率；扩大政策直达享惠覆盖面，让中小配套企业更便捷获得扶持，形成大中小企业协同受益的政策生态。地方扶持的系统性协同推进，有助于形成产业发展的强大合力。政策的可及性与执行力强弱，直接决定了扶持举措的实际成效。地方扶持的系统性协同推进，有助于形成产业发展的强大合力。</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方面，鲁南高科技化工园区推行统一公用配套、统一环保治理、统一安全管控，建成空分一体化装置5套、污水处理厂4处、二氧化碳回收装置3套、危废处置企业2家，降低企业落地成本。公共配套的完善程度与质量，直接影响企业的落地体验与感受。应着力补齐从中试熟化到规模量产之间的公共服务薄弱环节。公共配套的完善程度与质量，直接影响企业的落地体验与感受。</w:t>
      </w:r>
    </w:p>
    <w:p>
      <w:pPr>
        <w:spacing w:lineRule="exact" w:line="600" w:after="0"/>
        <w:ind w:firstLine="420"/>
      </w:pPr>
      <w:r>
        <w:rPr>
          <w:rFonts w:ascii="仿宋_GB2312" w:hAnsi="仿宋_GB2312" w:eastAsia="仿宋_GB2312"/>
          <w:b w:val="0"/>
          <w:sz w:val="32"/>
        </w:rPr>
        <w:t>公共服务平台提供检验检测、中试孵化、政务代办等功能；智慧化工园区平台实现风险预警与闭环管理。特勤消防站、智慧指挥中心完善安全配套，学校、医院、人才公寓完善生活配套。应着力补齐从中试熟化到规模量产之间的公共服务薄弱环节。优质高效的配套服务是集聚企业、留住企业的重要软性基础设施。应着力补齐从中试熟化到规模量产之间的公共服务薄弱环节。</w:t>
      </w:r>
    </w:p>
    <w:p>
      <w:pPr>
        <w:spacing w:lineRule="exact" w:line="600" w:after="0"/>
        <w:ind w:firstLine="420"/>
      </w:pPr>
      <w:r>
        <w:rPr>
          <w:rFonts w:ascii="仿宋_GB2312" w:hAnsi="仿宋_GB2312" w:eastAsia="仿宋_GB2312"/>
          <w:b w:val="0"/>
          <w:sz w:val="32"/>
        </w:rPr>
        <w:t>建议加密共享中试线、概念验证中心与产业大脑，强化生产性服务业配套；完善交通与能源基础设施，以高水平公共配套降低企业综合成本、增强集群吸引力。优质高效的配套服务是集聚企业、留住企业的重要软性基础设施。公共配套的完善程度与质量，直接影响企业的落地体验与感受。优质高效的配套服务是集聚企业、留住企业的重要软性基础设施。</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组织在标准互认、产能共享、产学研对接中发挥作用。化工相关协会、产业联盟促进企业协作，组织展会与技术交流，提升集群知名度与协同效率。行业协会的赋能转型与功能升级，将释放更大的产业组织效能。应增强协会对广大中小企业的服务覆盖广度与专业服务深度。行业协会的赋能转型与功能升级，将释放更大的产业组织效能。</w:t>
      </w:r>
    </w:p>
    <w:p>
      <w:pPr>
        <w:spacing w:lineRule="exact" w:line="600" w:after="0"/>
        <w:ind w:firstLine="420"/>
      </w:pPr>
      <w:r>
        <w:rPr>
          <w:rFonts w:ascii="仿宋_GB2312" w:hAnsi="仿宋_GB2312" w:eastAsia="仿宋_GB2312"/>
          <w:b w:val="0"/>
          <w:sz w:val="32"/>
        </w:rPr>
        <w:t>新材料技术创新与产业化联盟（中科院、国科控股）推动企业抱团攻关，参与省级特色产业集群建设，增强集体议价与政策反馈能力；链主牵头组建创新联合体，带动配套协同。应增强协会对广大中小企业的服务覆盖广度与专业服务深度。发挥好桥梁纽带作用，有助于优化集群的内部治理与产业生态。应增强协会对广大中小企业的服务覆盖广度与专业服务深度。</w:t>
      </w:r>
    </w:p>
    <w:p>
      <w:pPr>
        <w:spacing w:lineRule="exact" w:line="600" w:after="0"/>
        <w:ind w:firstLine="420"/>
      </w:pPr>
      <w:r>
        <w:rPr>
          <w:rFonts w:ascii="仿宋_GB2312" w:hAnsi="仿宋_GB2312" w:eastAsia="仿宋_GB2312"/>
          <w:b w:val="0"/>
          <w:sz w:val="32"/>
        </w:rPr>
        <w:t>建议做实行业协会功能，赋予其在标准制定、共性技术攻关、人才培训中更大作用；建立集群企业定期对话机制，畅通政企沟通，发挥行业自律与协同治理效能。发挥好桥梁纽带作用，有助于优化集群的内部治理与产业生态。行业协会的赋能转型与功能升级，将释放更大的产业组织效能。发挥好桥梁纽带作用，有助于优化集群的内部治理与产业生态。</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集群内企业130家、化工企业40家，年销售收入228亿元、利润51亿元、税收8亿元；园区2025年产值258亿元，成为滕州工业增长主引擎。集群拉动上下游产值、税收持续增长。经济效应的巩固夯实，需要实体经济与总部经济实现协同发展。关联产业的强劲带动，放大了集群对区域整体经济的贡献度。经济效应的巩固夯实，需要实体经济与总部经济实现协同发展。</w:t>
      </w:r>
    </w:p>
    <w:p>
      <w:pPr>
        <w:spacing w:lineRule="exact" w:line="600" w:after="0"/>
        <w:ind w:firstLine="420"/>
      </w:pPr>
      <w:r>
        <w:rPr>
          <w:rFonts w:ascii="仿宋_GB2312" w:hAnsi="仿宋_GB2312" w:eastAsia="仿宋_GB2312"/>
          <w:b w:val="0"/>
          <w:sz w:val="32"/>
        </w:rPr>
        <w:t>鲁南化工、联泓新科等链主持续释放产能，双百亿龙头牵引形成规模支撑。本地配套率逐步提升，带动配套企业营收增长，产业链增加值在滕州经济中占比提升。关联产业的强劲带动，放大了集群对区域整体经济的贡献度。应注重增长的质量内涵，避免经济效应过度依赖结算型总部。关联产业的强劲带动，放大了集群对区域整体经济的贡献度。</w:t>
      </w:r>
    </w:p>
    <w:p>
      <w:pPr>
        <w:spacing w:lineRule="exact" w:line="600" w:after="0"/>
        <w:ind w:firstLine="420"/>
      </w:pPr>
      <w:r>
        <w:rPr>
          <w:rFonts w:ascii="仿宋_GB2312" w:hAnsi="仿宋_GB2312" w:eastAsia="仿宋_GB2312"/>
          <w:b w:val="0"/>
          <w:sz w:val="32"/>
        </w:rPr>
        <w:t>初步估算，集群对滕州规上工业增长贡献突出，以链主牵引实现产值、税收多重拉动，规模效应与集聚效应转化为经济增量，巩固了煤化工在区域经济中的支柱地位。应注重增长的质量内涵，避免经济效应过度依赖结算型总部。经济效应的巩固夯实，需要实体经济与总部经济实现协同发展。应注重增长的质量内涵，避免经济效应过度依赖结算型总部。</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突出。集群从业人员1.6万人，直接提供大量制造、研发、流通岗位，并带动商贸、生活服务等间接就业。鲁南化工、联泓新科等成为本地就业蓄水池，促进人才回流。就业结构的持续优化升级，使产业发展更好惠及各类劳动者。应扩大就业带动覆盖面向，兼顾知识型与技能型岗位稳定供给。就业结构的持续优化升级，使产业发展更好惠及各类劳动者。</w:t>
      </w:r>
    </w:p>
    <w:p>
      <w:pPr>
        <w:spacing w:lineRule="exact" w:line="600" w:after="0"/>
        <w:ind w:firstLine="420"/>
      </w:pPr>
      <w:r>
        <w:rPr>
          <w:rFonts w:ascii="仿宋_GB2312" w:hAnsi="仿宋_GB2312" w:eastAsia="仿宋_GB2312"/>
          <w:b w:val="0"/>
          <w:sz w:val="32"/>
        </w:rPr>
        <w:t>高新技术企业以技术型为主，提供大量技能与研发岗位，提升就业质量。产业链配套网络使居民就近务工，缓解留守与通勤压力。应扩大就业带动覆盖面向，兼顾知识型与技能型岗位稳定供给。产业与就业的良性互动交融，增强了发展的社会基础与认同。应扩大就业带动覆盖面向，兼顾知识型与技能型岗位稳定供给。产业与就业的良性互动交融，增强了发展的社会基础与认同。</w:t>
      </w:r>
    </w:p>
    <w:p>
      <w:pPr>
        <w:spacing w:lineRule="exact" w:line="600" w:after="0"/>
        <w:ind w:firstLine="420"/>
      </w:pPr>
      <w:r>
        <w:rPr>
          <w:rFonts w:ascii="仿宋_GB2312" w:hAnsi="仿宋_GB2312" w:eastAsia="仿宋_GB2312"/>
          <w:b w:val="0"/>
          <w:sz w:val="32"/>
        </w:rPr>
        <w:t>建议强化技能培训与职教衔接，提升在岗工人数字化、绿色化技能；完善灵活就业与社保衔接，让集群发展红利更公平惠及本地居民，增强就业稳定性与包容性。产业与就业的良性互动交融，增强了发展的社会基础与认同。就业结构的持续优化升级，使产业发展更好惠及各类劳动者。产业与就业的良性互动交融，增强了发展的社会基础与认同。</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技术与空间两端。鲁南化工、联泓新科向中小企业输出技术能力，带动配套企业工艺与管理升级；链主技术需求牵引配套企业研发，形成创新溢出。溢出效应的本地高效转化，是集群价值外溢的关键最终落点。应以机制创新为牵引，促进技术外溢转化为本地产业新增量。溢出效应的本地高效转化，是集群价值外溢的关键最终落点。</w:t>
      </w:r>
    </w:p>
    <w:p>
      <w:pPr>
        <w:spacing w:lineRule="exact" w:line="600" w:after="0"/>
        <w:ind w:firstLine="420"/>
      </w:pPr>
      <w:r>
        <w:rPr>
          <w:rFonts w:ascii="仿宋_GB2312" w:hAnsi="仿宋_GB2312" w:eastAsia="仿宋_GB2312"/>
          <w:b w:val="0"/>
          <w:sz w:val="32"/>
        </w:rPr>
        <w:t>空间上，集群辐射木石镇及周边形成配套产业带与服务业，促进产城融合。煤基精细化工协同，溢出至上下游气体、装备、环保、物流领域。应以机制创新为牵引，促进技术外溢转化为本地产业新增量。正向溢出效应的释放，有助于提升集群在全省产业转型中地位。应以机制创新为牵引，促进技术外溢转化为本地产业新增量。正向溢出效应的释放，有助于提升集群在全省产业转型中地位。</w:t>
      </w:r>
    </w:p>
    <w:p>
      <w:pPr>
        <w:spacing w:lineRule="exact" w:line="600" w:after="0"/>
        <w:ind w:firstLine="420"/>
      </w:pPr>
      <w:r>
        <w:rPr>
          <w:rFonts w:ascii="仿宋_GB2312" w:hAnsi="仿宋_GB2312" w:eastAsia="仿宋_GB2312"/>
          <w:b w:val="0"/>
          <w:sz w:val="32"/>
        </w:rPr>
        <w:t>建议建设产业创新服务综合体，促进溢出效应制度化；推动链主平台能力进一步开放，鼓励配套企业融入更高层级供应链，放大技术、管理与空间正向外溢。正向溢出效应的释放，有助于提升集群在全省产业转型中地位。溢出效应的本地高效转化，是集群价值外溢的关键最终落点。正向溢出效应的释放，有助于提升集群在全省产业转型中地位。</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方面，集群壮大提升滕州产业能级与省级特色产业集群成色，增强区域认同感。园区配建研发中心、学校、医院、人才公寓，改善人居环境，提升公共服务水平。社会效应的不断深化拓展，使产业发展更具温度与公共价值。应将惠民导向贯穿应用场景建设始终，切实造福广大市民群众。社会效应的不断深化拓展，使产业发展更具温度与公共价值。</w:t>
      </w:r>
    </w:p>
    <w:p>
      <w:pPr>
        <w:spacing w:lineRule="exact" w:line="600" w:after="0"/>
        <w:ind w:firstLine="420"/>
      </w:pPr>
      <w:r>
        <w:rPr>
          <w:rFonts w:ascii="仿宋_GB2312" w:hAnsi="仿宋_GB2312" w:eastAsia="仿宋_GB2312"/>
          <w:b w:val="0"/>
          <w:sz w:val="32"/>
        </w:rPr>
        <w:t>集群带动共同富裕，配套企业吸纳劳动力、增加居民收入；煤化工绿色转型改善生态环境质量，扭转粗放散乱局面，提升居民获得感。应将惠民导向贯穿应用场景建设始终，切实造福广大市民群众。绿色智慧的发展成果，提升了城市治理与公共服务的整体水平。应将惠民导向贯穿应用场景建设始终，切实造福广大市民群众。绿色智慧的发展成果，提升了城市治理与公共服务的整体水平。</w:t>
      </w:r>
    </w:p>
    <w:p>
      <w:pPr>
        <w:spacing w:lineRule="exact" w:line="600" w:after="0"/>
        <w:ind w:firstLine="420"/>
      </w:pPr>
      <w:r>
        <w:rPr>
          <w:rFonts w:ascii="仿宋_GB2312" w:hAnsi="仿宋_GB2312" w:eastAsia="仿宋_GB2312"/>
          <w:b w:val="0"/>
          <w:sz w:val="32"/>
        </w:rPr>
        <w:t>建议将集群发展与城市更新、乡村振兴统筹，强化公共服务均等化；发挥龙头企业社会责任，参与公益与产教融合，让产业发展更好反哺社会民生。绿色智慧的发展成果，提升了城市治理与公共服务的整体水平。社会效应的不断深化拓展，使产业发展更具温度与公共价值。绿色智慧的发展成果，提升了城市治理与公共服务的整体水平。社会效应的不断深化拓展，使产业发展更具温度与公共价值。</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存在四强四弱：资源强而研发弱、制造强而品牌弱、规模强而附加值弱、内销强而高端外销弱。高端催化剂与电子级化学品依赖外购，中小企业附加值偏低，创新与人才分布不均。问题清单的清晰厘定，为后续精准施策提供了明确靶向与坐标。应以结构性改革为统领，系统破除制约集群能级跃升的藩篱。问题清单的清晰厘定，为后续精准施策提供了明确靶向与坐标。</w:t>
      </w:r>
    </w:p>
    <w:p>
      <w:pPr>
        <w:spacing w:lineRule="exact" w:line="600" w:after="0"/>
        <w:ind w:firstLine="420"/>
      </w:pPr>
      <w:r>
        <w:rPr>
          <w:rFonts w:ascii="仿宋_GB2312" w:hAnsi="仿宋_GB2312" w:eastAsia="仿宋_GB2312"/>
          <w:b w:val="0"/>
          <w:sz w:val="32"/>
        </w:rPr>
        <w:t>产业链在专用催化剂、电子级化学品、研发服务环节存在短板；价值链偏中游，微笑曲线两端提升不足；双碳双控与区域同质化竞争构成持续挑战。应以结构性改革为统领，系统破除制约集群能级跃升的藩篱。正视问题、补齐短板，是集群迈向高质量阶段的必经现实之路。应以结构性改革为统领，系统破除制约集群能级跃升的藩篱。正视问题、补齐短板，是集群迈向高质量阶段的必经现实之路。</w:t>
      </w:r>
    </w:p>
    <w:p>
      <w:pPr>
        <w:spacing w:lineRule="exact" w:line="600" w:after="0"/>
        <w:ind w:firstLine="420"/>
      </w:pPr>
      <w:r>
        <w:rPr>
          <w:rFonts w:ascii="仿宋_GB2312" w:hAnsi="仿宋_GB2312" w:eastAsia="仿宋_GB2312"/>
          <w:b w:val="0"/>
          <w:sz w:val="32"/>
        </w:rPr>
        <w:t>上述问题相互关联，需在补链强链、企业培育、创新提升、要素保障、政策优化等方面系统施策，以问题导向推动集群由规模集聚向高质量跃升。正视问题、补齐短板，是集群迈向高质量阶段的必经现实之路。问题清单的清晰厘定，为后续精准施策提供了明确靶向与坐标。正视问题、补齐短板，是集群迈向高质量阶段的必经现实之路。问题清单的清晰厘定，为后续精准施策提供了明确靶向与坐标。</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点突破高端催化剂、电子级与医用级精细化学品、关键助剂，支持国产替代与本地化配套；补齐检测认证、中试放大等生产性服务短板，完善产业链服务环节。三链协同同步发力，方能筑牢集群安全稳定运行与竞争力的根基。应以应用场景为牵引，推动延链环节尽快形成规模与集群效应。三链协同同步发力，方能筑牢集群安全稳定运行与竞争力的根基。</w:t>
      </w:r>
    </w:p>
    <w:p>
      <w:pPr>
        <w:spacing w:lineRule="exact" w:line="600" w:after="0"/>
        <w:ind w:firstLine="420"/>
      </w:pPr>
      <w:r>
        <w:rPr>
          <w:rFonts w:ascii="仿宋_GB2312" w:hAnsi="仿宋_GB2312" w:eastAsia="仿宋_GB2312"/>
          <w:b w:val="0"/>
          <w:sz w:val="32"/>
        </w:rPr>
        <w:t>强链：做强EVA光伏材料、醇基与氨基新材料等优势环节，提升鲁南化工、联泓新科全球与全国竞争力；强化煤到新材料闭环，稳固基础原料与中间体优势。应以应用场景为牵引，推动延链环节尽快形成规模与集群效应。补链强链延链各项举措，需与区域资源禀赋紧密结合起来推进。应以应用场景为牵引，推动延链环节尽快形成规模与集群效应。</w:t>
      </w:r>
    </w:p>
    <w:p>
      <w:pPr>
        <w:spacing w:lineRule="exact" w:line="600" w:after="0"/>
        <w:ind w:firstLine="420"/>
      </w:pPr>
      <w:r>
        <w:rPr>
          <w:rFonts w:ascii="仿宋_GB2312" w:hAnsi="仿宋_GB2312" w:eastAsia="仿宋_GB2312"/>
          <w:b w:val="0"/>
          <w:sz w:val="32"/>
        </w:rPr>
        <w:t>延链：向新能源材料、生物可降解材料、高端聚烯烃延伸，拓展电解液溶剂、隔膜原料、聚乳酸等；向上游高纯化学品、下游材料系统解决方案延伸，构建全生命周期产业链，提升价值链位势。补链强链延链各项举措，需与区域资源禀赋紧密结合起来推进。三链协同同步发力，方能筑牢集群安全稳定运行与竞争力的根基。补链强链延链各项举措，需与区域资源禀赋紧密结合起来推进。</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专精特新梯次培育，推动中小配套企业从基础原料向精细化、制品化转型，力争新增更多单项冠军与专精特新，做大省级特色产业集群基本盘。企业梯次健康成长，是集群活力与韧性的根本源头与依托。应营造大中小企业融通、共生共荣的良性产业生态与氛围。企业梯次健康成长，是集群活力与韧性的根本源头与依托。应营造大中小企业融通、共生共荣的良性产业生态与氛围。</w:t>
      </w:r>
    </w:p>
    <w:p>
      <w:pPr>
        <w:spacing w:lineRule="exact" w:line="600" w:after="0"/>
        <w:ind w:firstLine="420"/>
      </w:pPr>
      <w:r>
        <w:rPr>
          <w:rFonts w:ascii="仿宋_GB2312" w:hAnsi="仿宋_GB2312" w:eastAsia="仿宋_GB2312"/>
          <w:b w:val="0"/>
          <w:sz w:val="32"/>
        </w:rPr>
        <w:t>支持链主平台能力开放，以订单、技术、标准带动配套企业升级；鼓励联泓、鲁化森萱等以技术品牌切入高端，培育隐形冠军。应营造大中小企业融通、共生共荣的良性产业生态与氛围。市场化领军企业的不断壮大，将优化集群整体的企业结构。应营造大中小企业融通、共生共荣的良性产业生态与氛围。市场化领军企业的不断壮大，将优化集群整体的企业结构。</w:t>
      </w:r>
    </w:p>
    <w:p>
      <w:pPr>
        <w:spacing w:lineRule="exact" w:line="600" w:after="0"/>
        <w:ind w:firstLine="420"/>
      </w:pPr>
      <w:r>
        <w:rPr>
          <w:rFonts w:ascii="仿宋_GB2312" w:hAnsi="仿宋_GB2312" w:eastAsia="仿宋_GB2312"/>
          <w:b w:val="0"/>
          <w:sz w:val="32"/>
        </w:rPr>
        <w:t>建议建立企业培育服务专员制度，提供股改、上市、并购对接；支持企业抱团出海，以集群整体形象参与国际竞争，提升企业群体竞争力与抗风险能力。市场化领军企业的不断壮大，将优化集群整体的企业结构。企业梯次健康成长，是集群活力与韧性的根本源头与依托。市场化领军企业的不断壮大，将优化集群整体的企业结构。企业梯次健康成长，是集群活力与韧性的根本源头与依托。</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引导链主联合配套企业、高校院所组建创新联合体，攻关光伏材料、生物基、低碳气化等前沿技术，提升原创成果供给。创新体系自身的完善程度，决定集群长期竞争力的高度与厚度。应以场景驱动为手段，加速科研成果向现实生产力有效转化。创新体系自身的完善程度，决定集群长期竞争力的高度与厚度。应以场景驱动为手段，加速科研成果向现实生产力有效转化。</w:t>
      </w:r>
    </w:p>
    <w:p>
      <w:pPr>
        <w:spacing w:lineRule="exact" w:line="600" w:after="0"/>
        <w:ind w:firstLine="420"/>
      </w:pPr>
      <w:r>
        <w:rPr>
          <w:rFonts w:ascii="仿宋_GB2312" w:hAnsi="仿宋_GB2312" w:eastAsia="仿宋_GB2312"/>
          <w:b w:val="0"/>
          <w:sz w:val="32"/>
        </w:rPr>
        <w:t>补强公共创新平台，建设共享中试线、概念验证中心与产业大脑，降低中小企业创新门槛；完善知识产权交易与收益分配，提升本地转化率。应以场景驱动为手段，加速科研成果向现实生产力有效转化。全链条创新生态构建，需统筹基础研究、技术攻关与产业化。应以场景驱动为手段，加速科研成果向现实生产力有效转化。全链条创新生态构建，需统筹基础研究、技术攻关与产业化。</w:t>
      </w:r>
    </w:p>
    <w:p>
      <w:pPr>
        <w:spacing w:lineRule="exact" w:line="600" w:after="0"/>
        <w:ind w:firstLine="420"/>
      </w:pPr>
      <w:r>
        <w:rPr>
          <w:rFonts w:ascii="仿宋_GB2312" w:hAnsi="仿宋_GB2312" w:eastAsia="仿宋_GB2312"/>
          <w:b w:val="0"/>
          <w:sz w:val="32"/>
        </w:rPr>
        <w:t>建议设立集群创新专项资金，支持首台套、首批次应用；深化产教融合引育人才，以高强度、可持续研发投入支撑集群向价值链高端攀升。全链条创新生态构建，需统筹基础研究、技术攻关与产业化。创新体系自身的完善程度，决定集群长期竞争力的高度与厚度。全链条创新生态构建，需统筹基础研究、技术攻关与产业化。创新体系自身的完善程度，决定集群长期竞争力的高度与厚度。</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方面，以亩均效益优化存量，盘活闲置用地，保障重点项目；争取省级能耗煤耗指标，建设绿色低碳园区示范。资本方面，设化工新材料产业基金，推广供应链金融与知识产权质押。要素资源的精准保障，是政策落地生根与企业成长的关键支撑。应推动数据等新型要素与传统要素协同发力、相互赋能增效。要素资源的精准保障，是政策落地生根与企业成长的关键支撑。</w:t>
      </w:r>
    </w:p>
    <w:p>
      <w:pPr>
        <w:spacing w:lineRule="exact" w:line="600" w:after="0"/>
        <w:ind w:firstLine="420"/>
      </w:pPr>
      <w:r>
        <w:rPr>
          <w:rFonts w:ascii="仿宋_GB2312" w:hAnsi="仿宋_GB2312" w:eastAsia="仿宋_GB2312"/>
          <w:b w:val="0"/>
          <w:sz w:val="32"/>
        </w:rPr>
        <w:t>人才方面，深化产教融合定向培养化学工程、材料工程、智能制造人才，完善人才公寓与公共服务，缓解结构性短缺。数据要素方面，依托智慧平台打通上下游数据，提升协同效率。应推动数据等新型要素与传统要素协同发力、相互赋能增效。打通要素流通堵点痛点，可有效降低企业制度性交易成本。应推动数据等新型要素与传统要素协同发力、相互赋能增效。</w:t>
      </w:r>
    </w:p>
    <w:p>
      <w:pPr>
        <w:spacing w:lineRule="exact" w:line="600" w:after="0"/>
        <w:ind w:firstLine="420"/>
      </w:pPr>
      <w:r>
        <w:rPr>
          <w:rFonts w:ascii="仿宋_GB2312" w:hAnsi="仿宋_GB2312" w:eastAsia="仿宋_GB2312"/>
          <w:b w:val="0"/>
          <w:sz w:val="32"/>
        </w:rPr>
        <w:t>建议建立要素保障专班，统筹土地、能耗、资金、人才指标向高效益项目倾斜，以要素市场化配置提升集群投入产出效率与可持续发展能力。打通要素流通堵点痛点，可有效降低企业制度性交易成本。要素资源的精准保障，是政策落地生根与企业成长的关键支撑。打通要素流通堵点痛点，可有效降低企业制度性交易成本。要素资源的精准保障，是政策落地生根与企业成长的关键支撑。</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将集群纳入省级链长制重点产业链，争取国家与省级专项、试点叠加；用足鲁南高科技化工园区扩区与工业倍增政策红利，扩大高水平协同政策惠及面。政策的协同性与精准度，是衡量政府治理效能的重要标尺之一。应建立闭环评估反馈机制，动态优化政策实施的实际效果。政策的协同性与精准度，是衡量政府治理效能的重要标尺之一。应建立闭环评估反馈机制，动态优化政策实施的实际效果。</w:t>
      </w:r>
    </w:p>
    <w:p>
      <w:pPr>
        <w:spacing w:lineRule="exact" w:line="600" w:after="0"/>
        <w:ind w:firstLine="420"/>
      </w:pPr>
      <w:r>
        <w:rPr>
          <w:rFonts w:ascii="仿宋_GB2312" w:hAnsi="仿宋_GB2312" w:eastAsia="仿宋_GB2312"/>
          <w:b w:val="0"/>
          <w:sz w:val="32"/>
        </w:rPr>
        <w:t>优化营商环境，推行标准地加承诺制，提升项目落地效率；扩大政策直达享惠，让中小配套企业便捷获扶持。做实行业协会在标准、攻关、人才中的作用。应建立闭环评估反馈机制，动态优化政策实施的实际效果。以优质营商环境为基石，巩固并持续放大省级特色集群突出优势。应建立闭环评估反馈机制，动态优化政策实施的实际效果。以优质营商环境为基石，巩固并持续放大省级特色集群突出优势。</w:t>
      </w:r>
    </w:p>
    <w:p>
      <w:pPr>
        <w:spacing w:lineRule="exact" w:line="600" w:after="0"/>
        <w:ind w:firstLine="420"/>
      </w:pPr>
      <w:r>
        <w:rPr>
          <w:rFonts w:ascii="仿宋_GB2312" w:hAnsi="仿宋_GB2312" w:eastAsia="仿宋_GB2312"/>
          <w:b w:val="0"/>
          <w:sz w:val="32"/>
        </w:rPr>
        <w:t>建议建立集群发展监测评估机制，定期体检、动态纠偏；强化部门协同与政策集成，形成国家加省加市加区四级联动的政策闭环，护航集群行稳致远。以优质营商环境为基石，巩固并持续放大省级特色集群突出优势。政策的协同性与精准度，是衡量政府治理效能的重要标尺之一。以优质营商环境为基石，巩固并持续放大省级特色集群突出优势。</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齐鲁网. 滕州市煤基精细化工特色产业集群上榜2022年度山东省特色产业集群名单. https://sdxw.iqilu.com/share/YS0yMS0xMjk2OTA3OQ==.html</w:t>
      </w:r>
    </w:p>
    <w:p>
      <w:pPr>
        <w:spacing w:lineRule="exact" w:line="600" w:after="0"/>
        <w:ind w:firstLine="0"/>
      </w:pPr>
      <w:r>
        <w:rPr>
          <w:rFonts w:ascii="仿宋_GB2312" w:hAnsi="仿宋_GB2312" w:eastAsia="仿宋_GB2312"/>
          <w:b w:val="0"/>
          <w:sz w:val="32"/>
        </w:rPr>
        <w:t>2. 枣庄日报. 点煤成金（滕州煤基精细化工集群）. http://zzrbw.com/zzrbPaper/PC/con/202207/09/content_37209.html</w:t>
      </w:r>
    </w:p>
    <w:p>
      <w:pPr>
        <w:spacing w:lineRule="exact" w:line="600" w:after="0"/>
        <w:ind w:firstLine="0"/>
      </w:pPr>
      <w:r>
        <w:rPr>
          <w:rFonts w:ascii="仿宋_GB2312" w:hAnsi="仿宋_GB2312" w:eastAsia="仿宋_GB2312"/>
          <w:b w:val="0"/>
          <w:sz w:val="32"/>
        </w:rPr>
        <w:t>3. 滕州日报. 煤业启新程 化工筑华章. https://www.tzdaily.com.cn/html/2026-07/30/content_84951_19746575.htm</w:t>
      </w:r>
    </w:p>
    <w:p>
      <w:pPr>
        <w:spacing w:lineRule="exact" w:line="600" w:after="0"/>
        <w:ind w:firstLine="0"/>
      </w:pPr>
      <w:r>
        <w:rPr>
          <w:rFonts w:ascii="仿宋_GB2312" w:hAnsi="仿宋_GB2312" w:eastAsia="仿宋_GB2312"/>
          <w:b w:val="0"/>
          <w:sz w:val="32"/>
        </w:rPr>
        <w:t>4. 滕州市人民政府. 鲁南高科技化工园区工业倍增实施方案(2023-2026年). http://www.tengzhou.gov.cn/zwgk/xxgkml/zj/msz/202306/t20230605_1672752.html</w:t>
      </w:r>
    </w:p>
    <w:p>
      <w:pPr>
        <w:spacing w:lineRule="exact" w:line="600" w:after="0"/>
        <w:ind w:firstLine="0"/>
      </w:pPr>
      <w:r>
        <w:rPr>
          <w:rFonts w:ascii="仿宋_GB2312" w:hAnsi="仿宋_GB2312" w:eastAsia="仿宋_GB2312"/>
          <w:b w:val="0"/>
          <w:sz w:val="32"/>
        </w:rPr>
        <w:t>5. 滕州市人民政府. 滕州市国民经济和社会发展第十五个五年规划纲要. http://www.tengzhou.gov.cn/zwgk/zfgbhz/202607/t20260724_2309603.html</w:t>
      </w:r>
    </w:p>
    <w:p>
      <w:pPr>
        <w:spacing w:lineRule="exact" w:line="600" w:after="0"/>
        <w:ind w:firstLine="0"/>
      </w:pPr>
      <w:r>
        <w:rPr>
          <w:rFonts w:ascii="仿宋_GB2312" w:hAnsi="仿宋_GB2312" w:eastAsia="仿宋_GB2312"/>
          <w:b w:val="0"/>
          <w:sz w:val="32"/>
        </w:rPr>
        <w:t>6. 滕州市人民政府. 鲁化低碳高效动能转换一体化项目启动建设纪实. http://www.tengzhou.gov.cn/xwzx/jrtz/202512/t20251215_2214369.html</w:t>
      </w:r>
    </w:p>
    <w:p>
      <w:pPr>
        <w:spacing w:lineRule="exact" w:line="600" w:after="0"/>
        <w:ind w:firstLine="0"/>
      </w:pPr>
      <w:r>
        <w:rPr>
          <w:rFonts w:ascii="仿宋_GB2312" w:hAnsi="仿宋_GB2312" w:eastAsia="仿宋_GB2312"/>
          <w:b w:val="0"/>
          <w:sz w:val="32"/>
        </w:rPr>
        <w:t>7. 新华网. 枣庄滕州市打造化工新材料产业高地. https://city.news.cn/20231016/90ca3ba38dc242249afa9090cadbcaa1/c.html</w:t>
      </w:r>
    </w:p>
    <w:p>
      <w:pPr>
        <w:spacing w:lineRule="exact" w:line="600" w:after="0"/>
        <w:ind w:firstLine="0"/>
      </w:pPr>
      <w:r>
        <w:rPr>
          <w:rFonts w:ascii="仿宋_GB2312" w:hAnsi="仿宋_GB2312" w:eastAsia="仿宋_GB2312"/>
          <w:b w:val="0"/>
          <w:sz w:val="32"/>
        </w:rPr>
        <w:t>8. 山东省工业和信息化厅. 2022年度山东省特色产业集群名单. http://gxt.shandong.gov.cn/</w:t>
      </w:r>
    </w:p>
    <w:p>
      <w:pPr>
        <w:spacing w:lineRule="exact" w:line="600" w:after="0"/>
        <w:ind w:firstLine="0"/>
      </w:pPr>
      <w:r>
        <w:rPr>
          <w:rFonts w:ascii="仿宋_GB2312" w:hAnsi="仿宋_GB2312" w:eastAsia="仿宋_GB2312"/>
          <w:b w:val="0"/>
          <w:sz w:val="32"/>
        </w:rPr>
        <w:t>9. 鲁南化工园区智慧化转型报道. https://so.html5.qq.com/page/real/search_news?docid=70000021_1536a6da11061652</w:t>
      </w:r>
    </w:p>
    <w:p>
      <w:pPr>
        <w:spacing w:lineRule="exact" w:line="600" w:after="0"/>
        <w:ind w:firstLine="0"/>
      </w:pPr>
      <w:r>
        <w:rPr>
          <w:rFonts w:ascii="仿宋_GB2312" w:hAnsi="仿宋_GB2312" w:eastAsia="仿宋_GB2312"/>
          <w:b w:val="0"/>
          <w:sz w:val="32"/>
        </w:rPr>
        <w:t>10. 滕州市人民政府. 十四五招商引资工作纪实. http://www.tengzhou.gov.cn/tzzt/rdzt/qgxc/202604/t20260401_2264071.html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