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山东淄博高新区(药品及医疗器械)特色产业集群发展研究报告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淄博高新区(药品及医疗器械)特色产业集群于2022年经山东省工业和信息化厅认定为省级特色产业集群，位于淄博高新技术产业开发区。淄博高新区1992年设立为国家级高新区，面积225.06平方公里，是全市新医药产业核心集聚区，生物医药产业基础雄厚、创新资源密集。该集群是当地实施工业强区战略、培育新质生产力的重要载体与关键抓手，战略意义突出。</w:t>
      </w:r>
    </w:p>
    <w:p>
      <w:pPr>
        <w:spacing w:lineRule="exact" w:line="600" w:after="0"/>
        <w:ind w:firstLine="420"/>
      </w:pPr>
      <w:r>
        <w:rPr>
          <w:rFonts w:ascii="仿宋_GB2312" w:hAnsi="仿宋_GB2312" w:eastAsia="仿宋_GB2312"/>
          <w:b w:val="0"/>
          <w:sz w:val="32"/>
        </w:rPr>
        <w:t>集群以化学药与生物药、医疗器械与耗材、医药流通与服务为主攻方向，产业体系涉及医药制造业9个小类中的8个、医疗仪器设备及器械制造8个小类中的7个，产业链条从原料药、制剂到医疗设备、医用耗材较为完整，是「国家火炬计划生物医药产业基地」「国家十大医药产品出口基地」。其发展得到了省市两级在规划编制、资金安排与应用场景上的持续倾斜与系统性支持。</w:t>
      </w:r>
    </w:p>
    <w:p>
      <w:pPr>
        <w:spacing w:lineRule="exact" w:line="600" w:after="0"/>
        <w:ind w:firstLine="420"/>
      </w:pPr>
      <w:r>
        <w:rPr>
          <w:rFonts w:ascii="仿宋_GB2312" w:hAnsi="仿宋_GB2312" w:eastAsia="仿宋_GB2312"/>
          <w:b w:val="0"/>
          <w:sz w:val="32"/>
        </w:rPr>
        <w:t>2021年，淄博高新区生物医药与生物医学工程创新型产业集群入选国家创新型产业集群试点（培育），成为全市唯一国家级创新型产业集群。集群以龙头项目到上下游配套到产业生态圈思路推进，是山东省生物医药版图的重要一极，正加速向千亿级产业集群迈进。区域创新资源与行业龙头企业的空间叠加，构成了集群难以复制的独特发展禀赋优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2025年淄博高新区新医药产业（药品及医疗器械集群范畴）营业收入达184.91亿元，其中链主企业新华制药、新华医疗、荣昌制药三家引领明显。集群以四上企业30家、链主企业3家为骨干，规模在省内同类型集群中位居前列。上述规模数据直观反映了集聚区在龙头企业总部经济强力拉动下的快速扩张总体态势。</w:t>
      </w:r>
    </w:p>
    <w:p>
      <w:pPr>
        <w:spacing w:lineRule="exact" w:line="600" w:after="0"/>
        <w:ind w:firstLine="420"/>
      </w:pPr>
      <w:r>
        <w:rPr>
          <w:rFonts w:ascii="仿宋_GB2312" w:hAnsi="仿宋_GB2312" w:eastAsia="仿宋_GB2312"/>
          <w:b w:val="0"/>
          <w:sz w:val="32"/>
        </w:rPr>
        <w:t>从更大口径看，高新区大健康产业集聚企业130家、高新技术企业65家、营收过亿元企业36家，2024年实现营业收入约480亿元（含功能食品等关联领域）。药品及医疗器械作为核心板块，贡献主要增量，是高新区工业经济的支柱增长极。下一步应当更加注重规模增长的质量成色与本地实体经济的真实贡献占比。产业规模的持续壮大，为区域就业、财政税收与上下游关联产业提供了有力支撑。</w:t>
      </w:r>
    </w:p>
    <w:p>
      <w:pPr>
        <w:spacing w:lineRule="exact" w:line="600" w:after="0"/>
        <w:ind w:firstLine="420"/>
      </w:pPr>
      <w:r>
        <w:rPr>
          <w:rFonts w:ascii="仿宋_GB2312" w:hAnsi="仿宋_GB2312" w:eastAsia="仿宋_GB2312"/>
          <w:b w:val="0"/>
          <w:sz w:val="32"/>
        </w:rPr>
        <w:t>新华制药、新华医疗等龙头企业体量与出口规模突出：新华制药年出口额近4亿美元，阿司匹林、布洛芬产能居全球第一；新华医疗感染控制产品规模世界第一。集群产值占高新区规上工业比重持续提升，集聚效应与规模效应同步增强。产业规模的持续壮大，为区域就业、财政税收与上下游关联产业提供了有力支撑。上述规模数据直观反映了集聚区在龙头企业总部经济强力拉动下的快速扩张总体态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化学药与生物药：以新华制药为核心，是全球最大解热镇痛类药物生产出口基地，阿司匹林、布洛芬产能全球第一，拥有26个独家或市占率第一的核心品种；金城医药头孢克肟侧链酸活性酯全球市占率95%，荣昌制药小儿定喘口服液填补国内空白，化学药与生物药实力突出。三大主导产业相互嵌套、彼此赋能，共同构成了相对完整的产业生态体系。</w:t>
      </w:r>
    </w:p>
    <w:p>
      <w:pPr>
        <w:spacing w:lineRule="exact" w:line="600" w:after="0"/>
        <w:ind w:firstLine="420"/>
      </w:pPr>
      <w:r>
        <w:rPr>
          <w:rFonts w:ascii="仿宋_GB2312" w:hAnsi="仿宋_GB2312" w:eastAsia="仿宋_GB2312"/>
          <w:b w:val="0"/>
          <w:sz w:val="32"/>
        </w:rPr>
        <w:t>医疗器械与耗材：以新华医疗为龙头，感染控制产品种类和规模世界第一，研制国内首台高能医用电子直线加速器、精准放疗大孔径螺旋CT；安得医疗TPE输液器技术全球领先，新马药机固体制剂装备国内市占率70%，医疗器械品类齐全、能级较高。平台、产品与装备三者协同发力，是集群区别于单纯制造型集群的鲜明关键特征。主导产业的清晰分工与定位，有利于精准施策与产业链条向纵深方向拓展延伸。</w:t>
      </w:r>
    </w:p>
    <w:p>
      <w:pPr>
        <w:spacing w:lineRule="exact" w:line="600" w:after="0"/>
        <w:ind w:firstLine="420"/>
      </w:pPr>
      <w:r>
        <w:rPr>
          <w:rFonts w:ascii="仿宋_GB2312" w:hAnsi="仿宋_GB2312" w:eastAsia="仿宋_GB2312"/>
          <w:b w:val="0"/>
          <w:sz w:val="32"/>
        </w:rPr>
        <w:t>医药流通与服务：依托新华制药医药商业板块、医药国际合作中心及CRO、医药包材等配套，形成从研发、生产到流通服务的闭环。华润圣海膳食营养补充剂、山东药玻药用包材等完善服务端，医药流通与服务为集群价值实现提供支撑。主导产业的清晰分工与定位，有利于精准施策与产业链条向纵深方向拓展延伸。三大主导产业相互嵌套、彼此赋能，共同构成了相对完整的产业生态体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已形成医药中间体到原料药到制剂到医疗设备到医用耗材到流通服务较为完整的链条。上游涵盖特色化工、医药中间体、原辅料药；中游为化学药、生物药、医疗器械与耗材；下游延伸至医药流通、医疗机构与CRO服务，链条衔接顺畅。总体看，集群产业链已具雏形，但高端环节本地配套仍是后续发力的重点方向。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淄博高新区立足化工、机械、制造工业基础，强化与人才、技术、资本融合，形成从特色化工、医药中间体、原辅料药到高端制剂的完备产业链，以及医药制药、医疗装备、制药装备、手术器材、生物材料、功能食品、医药包材与CRO服务的完善体系，产业宽度与深度兼具。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需重点关注，部分高端制剂、核心生物原料与高值耗材仍依赖外部，但总体看已具备从原料到整机与服务的闭环能力。龙头企业的零部件上下游相互配套，展现出产业链较强韧性，正加速向自主可控演进。应以链主企业为核心节点，推动上下游企业在区内的就近配套与紧密协作联动。总体看，集群产业链已具雏形，但高端环节本地配套仍是后续发力的重点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于高附加值上游与前沿环节。高端生物药原研、创新药核心靶点、部分高值耗材与关键医用材料仍依赖外部技术或进口，本地企业在原始创新与重磅品种上体量偏小，是补链重点。补齐上述短板，是提升集群产业韧性与关键技术自主可控能力的当务之急所在。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医药研发服务（CRO、CDMO）与高端检测认证配套相对薄弱，临床与中试资源有待加强；部分医用核心零部件、精密传感器依赖外购，制约医疗设备交付稳定性，影响产业链安全与成本。针对短板环节开展定向招商与联合攻关，可有效缩短配套半径与订单响应时间。应设立专项攻关推进机制，集中力量突破制约产业链安全运行的各类关键瓶颈。</w:t>
      </w:r>
    </w:p>
    <w:p>
      <w:pPr>
        <w:spacing w:lineRule="exact" w:line="600" w:after="0"/>
        <w:ind w:firstLine="420"/>
      </w:pPr>
      <w:r>
        <w:rPr>
          <w:rFonts w:ascii="仿宋_GB2312" w:hAnsi="仿宋_GB2312" w:eastAsia="仿宋_GB2312"/>
          <w:b w:val="0"/>
          <w:sz w:val="32"/>
        </w:rPr>
        <w:t>产业链协同数字化程度有待提升，中小企业与龙头间信息系统对接不充分。需通过公共平台与产业互联网深化上下游协同，补齐研发服务与数据链短板，提升整体产业链竞争力与抗风险能力。应设立专项攻关推进机制，集中力量突破制约产业链安全运行的各类关键瓶颈。补齐上述短板，是提升集群产业韧性与关键技术自主可控能力的当务之急所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在化学原料药、医用耗材等制造环节处于全球较高位势，新华制药解热镇痛类、新华医疗消毒与放射诊疗类产品具备全球竞争力；但在创新药研发、品牌营销与高端服务环节仍有提升空间，价值链呈制造强、研发服务待强特征。提升价值链位势，需要持续向研发设计与运营服务两端延伸拓展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医疗器械领域，新华医疗在感染控制、放射诊疗设备技术全国前列，部分产品打破国外垄断，但高端影像与核心部件话语权有待增强；金城医药、千汇生物在细分原料与辅料占据全球前列，单位附加值较高。避免陷入低附加值环节的同质化竞争，是集群保持长期竞争优势的重要前提。应以数据要素深度赋能，系统提升全链条的价值创造能力与价值捕获能力。</w:t>
      </w:r>
    </w:p>
    <w:p>
      <w:pPr>
        <w:spacing w:lineRule="exact" w:line="600" w:after="0"/>
        <w:ind w:firstLine="420"/>
      </w:pPr>
      <w:r>
        <w:rPr>
          <w:rFonts w:ascii="仿宋_GB2312" w:hAnsi="仿宋_GB2312" w:eastAsia="仿宋_GB2312"/>
          <w:b w:val="0"/>
          <w:sz w:val="32"/>
        </w:rPr>
        <w:t>总体看，集群正由原料与设备制造向创新药加高端器械加服务攀升。需强化原创品种与品牌溢价，提升在全球价值链中的分配地位，推动微笑曲线两端延伸。应以数据要素深度赋能，系统提升全链条的价值创造能力与价值捕获能力。提升价值链位势，需要持续向研发设计与运营服务两端延伸拓展能力。应以数据要素深度赋能，系统提升全链条的价值创造能力与价值捕获能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链主引领加专精特新配套格局。新华制药专注化学药与制剂、新华医疗专注医疗器械与制药装备，荣昌制药、金城医药、千汇生物等聚焦生物药、原料与辅料，形成专业化分工协作网络。合理的产业分工格局，有助于避免重复建设与区内的同质化无序竞争。应强化当地在总部、研发端的突出优势，把制造环节有序承接落地。</w:t>
      </w:r>
    </w:p>
    <w:p>
      <w:pPr>
        <w:spacing w:lineRule="exact" w:line="600" w:after="0"/>
        <w:ind w:firstLine="420"/>
      </w:pPr>
      <w:r>
        <w:rPr>
          <w:rFonts w:ascii="仿宋_GB2312" w:hAnsi="仿宋_GB2312" w:eastAsia="仿宋_GB2312"/>
          <w:b w:val="0"/>
          <w:sz w:val="32"/>
        </w:rPr>
        <w:t>在空间分工上，生物医药产业创新园、中国育奇谷等园区集中布局研发与高端制造；周边聚集医药包材、耗材、CRO等配套企业，形成核心园区引领、专业配套支撑的地理分工。应强化当地在总部、研发端的突出优势，把制造环节有序承接落地。跨区域的分工协作，应与本地配套能力建设统筹推进、形成良性互动。应强化当地在总部、研发端的突出优势，把制造环节有序承接落地。</w:t>
      </w:r>
    </w:p>
    <w:p>
      <w:pPr>
        <w:spacing w:lineRule="exact" w:line="600" w:after="0"/>
        <w:ind w:firstLine="420"/>
      </w:pPr>
      <w:r>
        <w:rPr>
          <w:rFonts w:ascii="仿宋_GB2312" w:hAnsi="仿宋_GB2312" w:eastAsia="仿宋_GB2312"/>
          <w:b w:val="0"/>
          <w:sz w:val="32"/>
        </w:rPr>
        <w:t>从协作看，龙头通过订单与技术牵引带动配套企业升级，配套企业就近供货降低物流成本。行业组织与平台推动标准互认、产能共享，既提高专业化效率，也增强产业链抗风险能力。跨区域的分工协作，应与本地配套能力建设统筹推进、形成良性互动。合理的产业分工格局，有助于避免重复建设与区内的同质化无序竞争。跨区域的分工协作，应与本地配套能力建设统筹推进、形成良性互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的金字塔结构。新华制药、新华医疗为百亿级龙头；新医药产业四上企业30家、链主3家，大健康口径集聚企业130家、高新技术企业65家、营收过亿企业36家，中小企业是配套主力。优化规模结构，重点在于壮大腰部企业与规模以上工业企业的总体数量。应建立企业梯次培育动态库，实施差异化、精准化的分类扶持政策。</w:t>
      </w:r>
    </w:p>
    <w:p>
      <w:pPr>
        <w:spacing w:lineRule="exact" w:line="600" w:after="0"/>
        <w:ind w:firstLine="420"/>
      </w:pPr>
      <w:r>
        <w:rPr>
          <w:rFonts w:ascii="仿宋_GB2312" w:hAnsi="仿宋_GB2312" w:eastAsia="仿宋_GB2312"/>
          <w:b w:val="0"/>
          <w:sz w:val="32"/>
        </w:rPr>
        <w:t>据公开数据，集群内高新技术企业数量较多、质量较好，专精特新与单项冠军企业集聚，表明中小企业专业化水平较高，成长性与创新活力较强，优于一般县域集群。应建立企业梯次培育动态库，实施差异化、精准化的分类扶持政策。规模结构的持续改善将直接增强集群抵御外部宏观冲击的整体能力。应建立企业梯次培育动态库，实施差异化、精准化的分类扶持政策。</w:t>
      </w:r>
    </w:p>
    <w:p>
      <w:pPr>
        <w:spacing w:lineRule="exact" w:line="600" w:after="0"/>
        <w:ind w:firstLine="420"/>
      </w:pPr>
      <w:r>
        <w:rPr>
          <w:rFonts w:ascii="仿宋_GB2312" w:hAnsi="仿宋_GB2312" w:eastAsia="仿宋_GB2312"/>
          <w:b w:val="0"/>
          <w:sz w:val="32"/>
        </w:rPr>
        <w:t>初步估算，集群年营业收入184.91亿元（新医药口径），其中龙头贡献大部分份额，中小企业以配套供货分享红利。这种大而强加小而精结构，既保证规模支撑，又保持创新活力，是集群韧性的重要来源。规模结构的持续改善将直接增强集群抵御外部宏观冲击的整体能力。优化规模结构，重点在于壮大腰部企业与规模以上工业企业的总体数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国有控股与民营资本并存、混合所有制活跃。新华制药、新华医疗为国有控股上市公司；荣昌制药、金城医药、千汇生物、安得医疗等为民营或混合所有制，产权多元且活力较强。多元产权共生共荣，有利于形成既有运行秩序又富创新活力的产业氛围。应鼓励国企与民企在技术创新与市场拓展上加强协同与优势互补。</w:t>
      </w:r>
    </w:p>
    <w:p>
      <w:pPr>
        <w:spacing w:lineRule="exact" w:line="600" w:after="0"/>
        <w:ind w:firstLine="420"/>
      </w:pPr>
      <w:r>
        <w:rPr>
          <w:rFonts w:ascii="仿宋_GB2312" w:hAnsi="仿宋_GB2312" w:eastAsia="仿宋_GB2312"/>
          <w:b w:val="0"/>
          <w:sz w:val="32"/>
        </w:rPr>
        <w:t>外资与国际合作深入，新华制药与罗氏、拜耳、默克等200余家全球药企合作，引进百利高、默克、罗氏开展OEM；贝朗医疗等外资医疗器械企业布局高新区，体现开放特征。应鼓励国企与民企在技术创新与市场拓展上加强协同与优势互补。产权结构的持续优化，有助于提升资源配置效率与产业运行内在韧性。应鼓励国企与民企在技术创新与市场拓展上加强协同与优势互补。</w:t>
      </w:r>
    </w:p>
    <w:p>
      <w:pPr>
        <w:spacing w:lineRule="exact" w:line="600" w:after="0"/>
        <w:ind w:firstLine="420"/>
      </w:pPr>
      <w:r>
        <w:rPr>
          <w:rFonts w:ascii="仿宋_GB2312" w:hAnsi="仿宋_GB2312" w:eastAsia="仿宋_GB2312"/>
          <w:b w:val="0"/>
          <w:sz w:val="32"/>
        </w:rPr>
        <w:t>总体看，集群产权结构呈现国资引领、民营活跃、外资参与特征，多元产权有利于引入技术、资本与管理。需进一步完善要素市场化配置，激发各类主体活力，优化治理与抗风险能力。产权结构的持续优化，有助于提升资源配置效率与产业运行内在韧性。多元产权共生共荣，有利于形成既有运行秩序又富创新活力的产业氛围。产权结构的持续优化，有助于提升资源配置效率与产业运行内在韧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新华制药是集群化学药绝对龙头，全球最大解热镇痛类药物生产出口基地，阿司匹林、布洛芬产能全球第一，年出口额近4亿美元，拥有26个独家或市占率第一核心品种，是全国制剂出口十强。头部企业的辐射带动力，是衡量一个集群能级高低的重要标志之一。应支持头部企业开放应用场景与采购订单，带动配套企业共同成长。头部企业的辐射带动力，是衡量一个集群能级高低的重要标志之一。</w:t>
      </w:r>
    </w:p>
    <w:p>
      <w:pPr>
        <w:spacing w:lineRule="exact" w:line="600" w:after="0"/>
        <w:ind w:firstLine="420"/>
      </w:pPr>
      <w:r>
        <w:rPr>
          <w:rFonts w:ascii="仿宋_GB2312" w:hAnsi="仿宋_GB2312" w:eastAsia="仿宋_GB2312"/>
          <w:b w:val="0"/>
          <w:sz w:val="32"/>
        </w:rPr>
        <w:t>新华医疗是医疗器械与装备龙头，感染控制产品规模世界第一，研制国内首台高能医用电子直线加速器、精准放疗大孔径螺旋CT，放射诊疗与制药装备技术全国前列，消毒、内镜清洗类产品市占率全国第一。应支持头部企业开放应用场景与采购订单，带动配套企业共同成长。培育更多市场化头部企业，可进一步优化集群整体的企业生态结构。</w:t>
      </w:r>
    </w:p>
    <w:p>
      <w:pPr>
        <w:spacing w:lineRule="exact" w:line="600" w:after="0"/>
        <w:ind w:firstLine="420"/>
      </w:pPr>
      <w:r>
        <w:rPr>
          <w:rFonts w:ascii="仿宋_GB2312" w:hAnsi="仿宋_GB2312" w:eastAsia="仿宋_GB2312"/>
          <w:b w:val="0"/>
          <w:sz w:val="32"/>
        </w:rPr>
        <w:t>荣昌制药、金城医药、千汇生物、安得医疗、新马药机、华润圣海等骨干企业覆盖生物药、原料药、辅料、耗材、装备、保健品，构成多支点企业矩阵，支撑产业链协同与集群能级提升。培育更多市场化头部企业，可进一步优化集群整体的企业生态结构。头部企业的辐射带动力，是衡量一个集群能级高低的重要标志之一。培育更多市场化头部企业，可进一步优化集群整体的企业生态结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高度集聚于高新区生物医药产业创新园、中国育奇谷等核心载体，并沿园区形成配套产业带，地理邻近降低配套半径与交易成本。链主企业牵引上下游配套，形成圈层集聚。集聚度的提升，必须与配套深度的提升同步推进方能真正见效。应防止企业物理集聚而业务松散，强化产业链条的内在有机联系。集聚度的提升，必须与配套深度的提升同步推进方能真正见效。</w:t>
      </w:r>
    </w:p>
    <w:p>
      <w:pPr>
        <w:spacing w:lineRule="exact" w:line="600" w:after="0"/>
        <w:ind w:firstLine="420"/>
      </w:pPr>
      <w:r>
        <w:rPr>
          <w:rFonts w:ascii="仿宋_GB2312" w:hAnsi="仿宋_GB2312" w:eastAsia="仿宋_GB2312"/>
          <w:b w:val="0"/>
          <w:sz w:val="32"/>
        </w:rPr>
        <w:t>从行业集聚看，在化学药、医疗器械、医药包材等领域形成专业化高密度集聚，新华制药、新华医疗周边衍生孵化出新华医疗、新达制药、金城柯瑞等一批骨干企业，专业化集聚特征突出。应防止企业物理集聚而业务松散，强化产业链条的内在有机联系。园区载体与赋能平台的协同联动，是集聚向真正集群演进的关键所在。应防止企业物理集聚而业务松散，强化产业链条的内在有机联系。</w:t>
      </w:r>
    </w:p>
    <w:p>
      <w:pPr>
        <w:spacing w:lineRule="exact" w:line="600" w:after="0"/>
        <w:ind w:firstLine="420"/>
      </w:pPr>
      <w:r>
        <w:rPr>
          <w:rFonts w:ascii="仿宋_GB2312" w:hAnsi="仿宋_GB2312" w:eastAsia="仿宋_GB2312"/>
          <w:b w:val="0"/>
          <w:sz w:val="32"/>
        </w:rPr>
        <w:t>集群以国家级创新型产业集群试点（培育）为标识，形成医药制造、医疗器械、保健品协同的集群网络。多板块共生、跨链协同的集聚形态，提升区域产业整体能级与外部吸引力。园区载体与赋能平台的协同联动，是集聚向真正集群演进的关键所在。集聚度的提升，必须与配套深度的提升同步推进方能真正见效。园区载体与赋能平台的协同联动，是集聚向真正集群演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据公开数据，集群拥有新华制药、新华医疗等国家级企业技术中心6家、省级企业研发创新平台37家，龙头企业将营收相当比例投入研发，持续积累技术与专利，带动配套企业提升研发强度。持续稳定的研发投入，是集群保持技术领先与竞争力的根本保障。应引导金融资本与社会资本更多进入早期研发与中试关键环节。持续稳定的研发投入，是集群保持技术领先与竞争力的根本保障。</w:t>
      </w:r>
    </w:p>
    <w:p>
      <w:pPr>
        <w:spacing w:lineRule="exact" w:line="600" w:after="0"/>
        <w:ind w:firstLine="420"/>
      </w:pPr>
      <w:r>
        <w:rPr>
          <w:rFonts w:ascii="仿宋_GB2312" w:hAnsi="仿宋_GB2312" w:eastAsia="仿宋_GB2312"/>
          <w:b w:val="0"/>
          <w:sz w:val="32"/>
        </w:rPr>
        <w:t>初步估算，集群规上企业研发投入强度处于制造业中上水平，新华制药、新华医疗等重点企业研发占比高于传统加工企业，在解热镇痛、感染控制、放疗设备等领域形成差异化技术积累。应引导金融资本与社会资本更多进入早期研发与中试关键环节。研发投入的结构优化，比单纯增加投入总量更具长远战略意义。应引导金融资本与社会资本更多进入早期研发与中试关键环节。</w:t>
      </w:r>
    </w:p>
    <w:p>
      <w:pPr>
        <w:spacing w:lineRule="exact" w:line="600" w:after="0"/>
        <w:ind w:firstLine="420"/>
      </w:pPr>
      <w:r>
        <w:rPr>
          <w:rFonts w:ascii="仿宋_GB2312" w:hAnsi="仿宋_GB2312" w:eastAsia="仿宋_GB2312"/>
          <w:b w:val="0"/>
          <w:sz w:val="32"/>
        </w:rPr>
        <w:t>需关注中小企业研发投入受订单与成本约束波动较大。建议通过公共研发平台、共享中试线降低创新成本，引导金融资本投向研发环节，稳定提升集群整体研发投入强度与产出效率。研发投入的结构优化，比单纯增加投入总量更具长远战略意义。持续稳定的研发投入，是集群保持技术领先与竞争力的根本保障。研发投入的结构优化，比单纯增加投入总量更具长远战略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累计承担各类国家计划27项、省级计划40余项，累计授权专利数千项，其中发明专利数百项。新华医疗研制全球首台过氧乙酸低温灭菌器、国内首台高能医用电子直线加速器，创新成果领先。创新产出的数量规模与质量水平，共同反映集群的真实创新活力。应完善成果转化收益分配机制，激发各类主体的创新积极性。</w:t>
      </w:r>
    </w:p>
    <w:p>
      <w:pPr>
        <w:spacing w:lineRule="exact" w:line="600" w:after="0"/>
        <w:ind w:firstLine="420"/>
      </w:pPr>
      <w:r>
        <w:rPr>
          <w:rFonts w:ascii="仿宋_GB2312" w:hAnsi="仿宋_GB2312" w:eastAsia="仿宋_GB2312"/>
          <w:b w:val="0"/>
          <w:sz w:val="32"/>
        </w:rPr>
        <w:t>新华制药阿司匹林、布洛芬等26个核心品种市占率领先；金城医药头孢克肟侧链酸活性酯全球市占率95%；千汇生物环糊精系列全球第三、全国第一，体现技术成果的市场转化能力。应完善成果转化收益分配机制，激发各类主体的创新积极性。标志性的重大创新成果，有助于显著提升集群在行业内的话语权。应完善成果转化收益分配机制，激发各类主体的创新积极性。</w:t>
      </w:r>
    </w:p>
    <w:p>
      <w:pPr>
        <w:spacing w:lineRule="exact" w:line="600" w:after="0"/>
        <w:ind w:firstLine="420"/>
      </w:pPr>
      <w:r>
        <w:rPr>
          <w:rFonts w:ascii="仿宋_GB2312" w:hAnsi="仿宋_GB2312" w:eastAsia="仿宋_GB2312"/>
          <w:b w:val="0"/>
          <w:sz w:val="32"/>
        </w:rPr>
        <w:t>总体看，集群创新产出以原料突破加器械创新为特征，从专利到产品转化链条初步打通。但原创性、引领性重磅品种仍偏少，需强化基础研究与前沿技术储备，提升创新产出层级与壁垒。标志性的重大创新成果，有助于显著提升集群在行业内的话语权。创新产出的数量规模与质量水平，共同反映集群的真实创新活力。标志性的重大创新成果，有助于显著提升集群在行业内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国家级孵化器为主体。建有新华制药、新华医疗等国家级企业技术中心6家，省级平台37家；生物医药产业创新园等国家级孵化器表现优异，形成技术中心加平台加孵化器加加速器加产业园体系。平台之间的协同共享，是放大有限创新投入综合效益的重要路径。应推动创新平台面向中小企业开放，切实降低其创新门槛与成本。</w:t>
      </w:r>
    </w:p>
    <w:p>
      <w:pPr>
        <w:spacing w:lineRule="exact" w:line="600" w:after="0"/>
        <w:ind w:firstLine="420"/>
      </w:pPr>
      <w:r>
        <w:rPr>
          <w:rFonts w:ascii="仿宋_GB2312" w:hAnsi="仿宋_GB2312" w:eastAsia="仿宋_GB2312"/>
          <w:b w:val="0"/>
          <w:sz w:val="32"/>
        </w:rPr>
        <w:t>依托淄博科学城与高校院所共建研究院、技术转移中心（与清华、上海交大、南开、山大等共建14家研究院、8家技术转移中心），提升协同创新能力；五大公共技术服务平台年均提供研发服务3万余家次。应推动创新平台面向中小企业开放，切实降低其创新门槛与成本。多层次平台体系的有序布局，为集群创新提供了较为坚实的支撑。</w:t>
      </w:r>
    </w:p>
    <w:p>
      <w:pPr>
        <w:spacing w:lineRule="exact" w:line="600" w:after="0"/>
        <w:ind w:firstLine="420"/>
      </w:pPr>
      <w:r>
        <w:rPr>
          <w:rFonts w:ascii="仿宋_GB2312" w:hAnsi="仿宋_GB2312" w:eastAsia="仿宋_GB2312"/>
          <w:b w:val="0"/>
          <w:sz w:val="32"/>
        </w:rPr>
        <w:t>需补强共性技术平台与概念验证中心，破解中小企业不敢投、不会转难题。建议引入国家级科研院所设分支机构，完善研发、中试、产业化平台链条，提升创新资源可得性与共享度。多层次平台体系的有序布局，为集群创新提供了较为坚实的支撑。平台之间的协同共享，是放大有限创新投入综合效益的重要路径。多层次平台体系的有序布局，为集群创新提供了较为坚实的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依托企业技术中心加公共平台加孵化器加加速器加产业园体系，将龙头技术需求与配套产能高效对接，形成需求牵引、联合攻关、就近配套的转化路径，缩短样品到量产周期。成果转化效率的高低，直接决定研发投入能否变为现实生产力。应以应用场景为牵引，打通从实验室样品到市场商品的转化通道。成果转化效率的高低，直接决定研发投入能否变为现实生产力。</w:t>
      </w:r>
    </w:p>
    <w:p>
      <w:pPr>
        <w:spacing w:lineRule="exact" w:line="600" w:after="0"/>
        <w:ind w:firstLine="420"/>
      </w:pPr>
      <w:r>
        <w:rPr>
          <w:rFonts w:ascii="仿宋_GB2312" w:hAnsi="仿宋_GB2312" w:eastAsia="仿宋_GB2312"/>
          <w:b w:val="0"/>
          <w:sz w:val="32"/>
        </w:rPr>
        <w:t>新华医疗BFS无菌保障设备、智能环形加速器等成果实现产业化，打破国外垄断；新华制药制剂国际化累计出口欧美近100亿片。产学研合作推动原料、器械技术向产品转化。应以应用场景为牵引，打通从实验室样品到市场商品的转化通道。强化中试熟化能力，是补齐转化短板、加速科技成果产业化的关键。应以应用场景为牵引，打通从实验室样品到市场商品的转化通道。</w:t>
      </w:r>
    </w:p>
    <w:p>
      <w:pPr>
        <w:spacing w:lineRule="exact" w:line="600" w:after="0"/>
        <w:ind w:firstLine="420"/>
      </w:pPr>
      <w:r>
        <w:rPr>
          <w:rFonts w:ascii="仿宋_GB2312" w:hAnsi="仿宋_GB2312" w:eastAsia="仿宋_GB2312"/>
          <w:b w:val="0"/>
          <w:sz w:val="32"/>
        </w:rPr>
        <w:t>总体看，集群技术转化通道较顺畅，但中试资源分散、工程化能力不均。建议建设共享中试线与成果转化基金，完善知识产权交易与收益分配，提升技术成果本地转化率与附加值。强化中试熟化能力，是补齐转化短板、加速科技成果产业化的关键。成果转化效率的高低，直接决定研发投入能否变为现实生产力。强化中试熟化能力，是补齐转化短板、加速科技成果产业化的关键。</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淄博高新区医药产业用工规模较大，依托淄博完备的职教与技工体系，形成从普工到工程师的多层次劳动力供给。新华制药、新华医疗等提供大量技能与研发岗位，带动本地就业与人才集聚。人力资本的持续积累与结构优化，是集群行稳致远的深层支撑。应完善引才留才政策机制，增强对跨界复合型高端人才的吸引力。人力资本的持续积累与结构优化，是集群行稳致远的深层支撑。</w:t>
      </w:r>
    </w:p>
    <w:p>
      <w:pPr>
        <w:spacing w:lineRule="exact" w:line="600" w:after="0"/>
        <w:ind w:firstLine="420"/>
      </w:pPr>
      <w:r>
        <w:rPr>
          <w:rFonts w:ascii="仿宋_GB2312" w:hAnsi="仿宋_GB2312" w:eastAsia="仿宋_GB2312"/>
          <w:b w:val="0"/>
          <w:sz w:val="32"/>
        </w:rPr>
        <w:t>初步估算，集群直接从业与配套从业人数处于产业集聚区前列，但高端研发、临床医学、复合型数字人才仍相对紧缺，制约价值链向高端攀升。企业普遍反映研发升级带来结构性用工缺口。应完善引才留才政策机制，增强对跨界复合型高端人才的吸引力。产教融合的深化推进，有助于有效缓解结构性用工矛盾与错配。应完善引才留才政策机制，增强对跨界复合型高端人才的吸引力。</w:t>
      </w:r>
    </w:p>
    <w:p>
      <w:pPr>
        <w:spacing w:lineRule="exact" w:line="600" w:after="0"/>
        <w:ind w:firstLine="420"/>
      </w:pPr>
      <w:r>
        <w:rPr>
          <w:rFonts w:ascii="仿宋_GB2312" w:hAnsi="仿宋_GB2312" w:eastAsia="仿宋_GB2312"/>
          <w:b w:val="0"/>
          <w:sz w:val="32"/>
        </w:rPr>
        <w:t>建议深化产教融合，依托高校与职业院校定向培养药学、医疗器械、生物工程人才；完善人才公寓、子女教育等配套，提升对高层次人才吸引力，缓解招工难与引才难并存矛盾。产教融合的深化推进，有助于有效缓解结构性用工矛盾与错配。人力资本的持续积累与结构优化，是集群行稳致远的深层支撑。产教融合的深化推进，有助于有效缓解结构性用工矛盾与错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龙头企业自投、产业基金与社会资本为主。新华制药、新华医疗等上市公司融资能力强；高新区设产业基金、风险补偿池，引导银行对专精特新企业授信，缓解融资难。资本与产业的良性互动循环，是新兴集群健康成长的重要条件。应丰富科技金融产品供给，精准滴灌早期科创企业与中小企业。资本与产业的良性互动循环，是新兴集群健康成长的重要条件。</w:t>
      </w:r>
    </w:p>
    <w:p>
      <w:pPr>
        <w:spacing w:lineRule="exact" w:line="600" w:after="0"/>
        <w:ind w:firstLine="420"/>
      </w:pPr>
      <w:r>
        <w:rPr>
          <w:rFonts w:ascii="仿宋_GB2312" w:hAnsi="仿宋_GB2312" w:eastAsia="仿宋_GB2312"/>
          <w:b w:val="0"/>
          <w:sz w:val="32"/>
        </w:rPr>
        <w:t>金融支持方面，淄博及高新区出台金融服务实体经济政策，鼓励银行对医药企业授信，创投机构参与配套企业融资。但中小配套企业仍面临抵押不足、融资贵问题，资本获得感不均。应丰富科技金融产品供给，精准滴灌早期科创企业与中小企业。金融资源的高度集聚，为集群重大项目落地提供了坚实资金保障。应丰富科技金融产品供给，精准滴灌早期科创企业与中小企业。</w:t>
      </w:r>
    </w:p>
    <w:p>
      <w:pPr>
        <w:spacing w:lineRule="exact" w:line="600" w:after="0"/>
        <w:ind w:firstLine="420"/>
      </w:pPr>
      <w:r>
        <w:rPr>
          <w:rFonts w:ascii="仿宋_GB2312" w:hAnsi="仿宋_GB2312" w:eastAsia="仿宋_GB2312"/>
          <w:b w:val="0"/>
          <w:sz w:val="32"/>
        </w:rPr>
        <w:t>建议设立生物医药产业专项基金，推广供应链金融与知识产权质押，畅通中小企业融资渠道；引导长期资本投向研发与技改，优化资本配置效率，支撑集群由规模扩张转向质量提升。金融资源的高度集聚，为集群重大项目落地提供了坚实资金保障。资本与产业的良性互动循环，是新兴集群健康成长的重要条件。金融资源的高度集聚，为集群重大项目落地提供了坚实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空间载体充裕，中国育奇谷拥有25万平方米标准厂房，可为创新药、高端制剂、高值耗材项目提供空间；生物医药产业创新园、先创区等专业园区保障扩产与招商，集约用地提升产出强度。集约节约高效用地，是当地发展先进制造业的必然现实选择。应通过存量更新与飞地合作等多种方式，拓展产业发展物理空间。集约节约高效用地，是当地发展先进制造业的必然现实选择。</w:t>
      </w:r>
    </w:p>
    <w:p>
      <w:pPr>
        <w:spacing w:lineRule="exact" w:line="600" w:after="0"/>
        <w:ind w:firstLine="420"/>
      </w:pPr>
      <w:r>
        <w:rPr>
          <w:rFonts w:ascii="仿宋_GB2312" w:hAnsi="仿宋_GB2312" w:eastAsia="仿宋_GB2312"/>
          <w:b w:val="0"/>
          <w:sz w:val="32"/>
        </w:rPr>
        <w:t>在能耗与环保约束趋紧背景下，医药产业推进绿色制造与节能改造。龙头企业建设绿色工厂，应用清洁工艺。需统筹能耗指标向高效益、低排放项目倾斜，保障重点项目落地。应通过存量更新与飞地合作等多种方式，拓展产业发展物理空间。绿色低碳的能耗结构，高度契合集群自身的产业属性与功能定位。应通过存量更新与飞地合作等多种方式，拓展产业发展物理空间。</w:t>
      </w:r>
    </w:p>
    <w:p>
      <w:pPr>
        <w:spacing w:lineRule="exact" w:line="600" w:after="0"/>
        <w:ind w:firstLine="420"/>
      </w:pPr>
      <w:r>
        <w:rPr>
          <w:rFonts w:ascii="仿宋_GB2312" w:hAnsi="仿宋_GB2312" w:eastAsia="仿宋_GB2312"/>
          <w:b w:val="0"/>
          <w:sz w:val="32"/>
        </w:rPr>
        <w:t>建议以亩均效益为导向优化土地配置，盘活闲置用地；争取省级能耗指标支持，建设绿色医药园区示范，以绿色低碳提升集群可持续发展能力与要素承载力。绿色低碳的能耗结构，高度契合集群自身的产业属性与功能定位。集约节约高效用地，是当地发展先进制造业的必然现实选择。绿色低碳的能耗结构，高度契合集群自身的产业属性与功能定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化学药生产所需基础化工原料依托淄博化工产业基础，供应便捷、成本可控；医药包材方面，山东药玻（位于沂源县）模制抗生素瓶年产90多亿只、药用丁基胶塞48亿只，中硼硅玻璃瓶打破垄断，为域内提供配套。关键材料的本地配套能力，直接关系到供应链安全与成本竞争力。应以数据要素弥补传统要素约束，培育形成新型差异化竞争优势。</w:t>
      </w:r>
    </w:p>
    <w:p>
      <w:pPr>
        <w:spacing w:lineRule="exact" w:line="600" w:after="0"/>
        <w:ind w:firstLine="420"/>
      </w:pPr>
      <w:r>
        <w:rPr>
          <w:rFonts w:ascii="仿宋_GB2312" w:hAnsi="仿宋_GB2312" w:eastAsia="仿宋_GB2312"/>
          <w:b w:val="0"/>
          <w:sz w:val="32"/>
        </w:rPr>
        <w:t>关键生物原料、高端医用材料与部分精密部件依赖专业供应链，本地在特色辅料（千汇生物环糊精）上具备优势，但高端电子与生物材料仍以外购为主，原材料价格波动对成本有影响。应以数据要素弥补传统要素约束，培育形成新型差异化竞争优势。原材料保障能力的持续增强，将提升集群制造端的安全边际水平。应以数据要素弥补传统要素约束，培育形成新型差异化竞争优势。</w:t>
      </w:r>
    </w:p>
    <w:p>
      <w:pPr>
        <w:spacing w:lineRule="exact" w:line="600" w:after="0"/>
        <w:ind w:firstLine="420"/>
      </w:pPr>
      <w:r>
        <w:rPr>
          <w:rFonts w:ascii="仿宋_GB2312" w:hAnsi="仿宋_GB2312" w:eastAsia="仿宋_GB2312"/>
          <w:b w:val="0"/>
          <w:sz w:val="32"/>
        </w:rPr>
        <w:t>建议加强战略供应商管理与联合采购，建立关键材料储备与价格预警；支持本地企业向高端改性、生物级材料升级，提升原材料本地化与抗波动能力，降低外部依赖风险。原材料保障能力的持续增强，将提升集群制造端的安全边际水平。关键材料的本地配套能力，直接关系到供应链安全与成本竞争力。原材料保障能力的持续增强，将提升集群制造端的安全边际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要市场。新华制药心脑血管、抗感染、神经、甾体激素类药物重点布局全国；新华医疗消毒、内镜清洗、放射诊疗类产品市占率全国第一，医院与疾控系统采购稳定。国内超大规模市场为集群提供了广阔且相对稳定的需求基本盘。应推动产品服务标准化模块化，提升跨区域复制与拓展的能力。国内超大规模市场为集群提供了广阔且相对稳定的需求基本盘。</w:t>
      </w:r>
    </w:p>
    <w:p>
      <w:pPr>
        <w:spacing w:lineRule="exact" w:line="600" w:after="0"/>
        <w:ind w:firstLine="420"/>
      </w:pPr>
      <w:r>
        <w:rPr>
          <w:rFonts w:ascii="仿宋_GB2312" w:hAnsi="仿宋_GB2312" w:eastAsia="仿宋_GB2312"/>
          <w:b w:val="0"/>
          <w:sz w:val="32"/>
        </w:rPr>
        <w:t>初步估算，集群内销占主导，受益于医保扩容、分级诊疗与设备更新政策，国内需求保持韧性。千汇生物环糊精、安得医疗输液器等进入国内主流供应链，内销空间广阔。应推动产品服务标准化模块化，提升跨区域复制与拓展的能力。内需的持续增长态势，是集群规模稳步扩张的坚实需求侧基础。应推动产品服务标准化模块化，提升跨区域复制与拓展的能力。</w:t>
      </w:r>
    </w:p>
    <w:p>
      <w:pPr>
        <w:spacing w:lineRule="exact" w:line="600" w:after="0"/>
        <w:ind w:firstLine="420"/>
      </w:pPr>
      <w:r>
        <w:rPr>
          <w:rFonts w:ascii="仿宋_GB2312" w:hAnsi="仿宋_GB2312" w:eastAsia="仿宋_GB2312"/>
          <w:b w:val="0"/>
          <w:sz w:val="32"/>
        </w:rPr>
        <w:t>需关注集采与医保控费对药品价格传导，以及医疗设备招标节奏变化。建议深耕基层医疗与民营市场，拓展家用健康设备，以差异化产品提升国内市场渗透率与客单价。内需的持续增长态势，是集群规模稳步扩张的坚实需求侧基础。国内超大规模市场为集群提供了广阔且相对稳定的需求基本盘。内需的持续增长态势，是集群规模稳步扩张的坚实需求侧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新华制药年出口额近4亿美元，长期合作罗氏、拜耳、默克等200余家全球头部药企，累计出口欧美近100亿片片剂，是全国制剂出口十强；解热镇痛类原料药出口全球领先。提升国际化发展水平，是集群拓展市场边界的重要战略主攻方向。应借力国家战略东风，推动装备、产品与运维服务协同抱团出海。提升国际化发展水平，是集群拓展市场边界的重要战略主攻方向。</w:t>
      </w:r>
    </w:p>
    <w:p>
      <w:pPr>
        <w:spacing w:lineRule="exact" w:line="600" w:after="0"/>
        <w:ind w:firstLine="420"/>
      </w:pPr>
      <w:r>
        <w:rPr>
          <w:rFonts w:ascii="仿宋_GB2312" w:hAnsi="仿宋_GB2312" w:eastAsia="仿宋_GB2312"/>
          <w:b w:val="0"/>
          <w:sz w:val="32"/>
        </w:rPr>
        <w:t>医疗器械方面，新华医疗感染控制与放疗设备、安得医疗TPE输液器、输注耗材出口量居全国前列，蓝帆医疗防护手套占全球份额较高，出口竞争力强。青岛港与多式联运为出口提供物流支撑。应借力国家战略东风，推动装备、产品与运维服务协同抱团出海。外向度的稳步提高，有助于分散单一市场带来的周期波动风险。应借力国家战略东风，推动装备、产品与运维服务协同抱团出海。</w:t>
      </w:r>
    </w:p>
    <w:p>
      <w:pPr>
        <w:spacing w:lineRule="exact" w:line="600" w:after="0"/>
        <w:ind w:firstLine="420"/>
      </w:pPr>
      <w:r>
        <w:rPr>
          <w:rFonts w:ascii="仿宋_GB2312" w:hAnsi="仿宋_GB2312" w:eastAsia="仿宋_GB2312"/>
          <w:b w:val="0"/>
          <w:sz w:val="32"/>
        </w:rPr>
        <w:t>需关注国际贸易摩擦、汇率波动与海外认证壁垒影响。建议支持企业布局海外注册与本地化服务，提升自主品牌出口比重，增强外贸韧性与议价能力。外向度的稳步提高，有助于分散单一市场带来的周期波动风险。提升国际化发展水平，是集群拓展市场边界的重要战略主攻方向。外向度的稳步提高，有助于分散单一市场带来的周期波动风险。</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方面，新华制药、新华医疗为集群最强品牌资产，均为上市国企、行业标杆；新华制药享誉全球的解热镇痛品牌、新华医疗感染控制第一品牌，构成药品加器械双品牌矩阵。区域品牌与企业品牌应协同发力，形成具有合力的品牌矩阵效应。以标准制定与认证认可提升品牌溢价，是品牌建设的有效路径。区域品牌与企业品牌应协同发力，形成具有合力的品牌矩阵效应。</w:t>
      </w:r>
    </w:p>
    <w:p>
      <w:pPr>
        <w:spacing w:lineRule="exact" w:line="600" w:after="0"/>
        <w:ind w:firstLine="420"/>
      </w:pPr>
      <w:r>
        <w:rPr>
          <w:rFonts w:ascii="仿宋_GB2312" w:hAnsi="仿宋_GB2312" w:eastAsia="仿宋_GB2312"/>
          <w:b w:val="0"/>
          <w:sz w:val="32"/>
        </w:rPr>
        <w:t>配套企业以代工与部件供应为主，自主品牌偏弱，金城医药、千汇生物、安得医疗以技术品牌切入细分领域。集群整体龙头强、配套弱品牌格局明显，需提升配套环节品牌溢价。以标准制定与认证认可提升品牌溢价，是品牌建设的有效路径。品牌影响力的不断扩大，将增强集群的市场号召力与议价能力。以标准制定与认证认可提升品牌溢价，是品牌建设的有效路径。</w:t>
      </w:r>
    </w:p>
    <w:p>
      <w:pPr>
        <w:spacing w:lineRule="exact" w:line="600" w:after="0"/>
        <w:ind w:firstLine="420"/>
      </w:pPr>
      <w:r>
        <w:rPr>
          <w:rFonts w:ascii="仿宋_GB2312" w:hAnsi="仿宋_GB2312" w:eastAsia="仿宋_GB2312"/>
          <w:b w:val="0"/>
          <w:sz w:val="32"/>
        </w:rPr>
        <w:t>建议实施品牌梯次培育，支持配套企业从OEM向ODM、OBM转型，打造淄博高新医药区域公共品牌；借力国家医药出口基地平台拓展国际品牌曝光，提升集群品牌能级与话语权。品牌影响力的不断扩大，将增强集群的市场号召力与议价能力。区域品牌与企业品牌应协同发力，形成具有合力的品牌矩阵效应。品牌影响力的不断扩大，将增强集群的市场号召力与议价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老龄化、健康化、智能化趋势。人口老龄化提升慢病用药与家用医疗设备需求；医院高质量发展推动高端影像、放疗与消毒设备更新；健康消费带动保健品与家用器械增长。准确把握需求端的结构变化，是集群保持战略主动的重要前提。应以场景创新主动响应需求，形成供需之间的正向良性循环。准确把握需求端的结构变化，是集群保持战略主动的重要前提。</w:t>
      </w:r>
    </w:p>
    <w:p>
      <w:pPr>
        <w:spacing w:lineRule="exact" w:line="600" w:after="0"/>
        <w:ind w:firstLine="420"/>
      </w:pPr>
      <w:r>
        <w:rPr>
          <w:rFonts w:ascii="仿宋_GB2312" w:hAnsi="仿宋_GB2312" w:eastAsia="仿宋_GB2312"/>
          <w:b w:val="0"/>
          <w:sz w:val="32"/>
        </w:rPr>
        <w:t>集采与DRG支付改革要求供应链更快响应、更低成本；海外市场对抗菌、防护与高端设备需求上升，对认证与本地化服务提出更高要求。应以场景创新主动响应需求，形成供需之间的正向良性循环。需求结构的加速升级，为集群业务转型提供了明确清晰的方向。应以场景创新主动响应需求，形成供需之间的正向良性循环。需求结构的加速升级，为集群业务转型提供了明确清晰的方向。</w:t>
      </w:r>
    </w:p>
    <w:p>
      <w:pPr>
        <w:spacing w:lineRule="exact" w:line="600" w:after="0"/>
        <w:ind w:firstLine="420"/>
      </w:pPr>
      <w:r>
        <w:rPr>
          <w:rFonts w:ascii="仿宋_GB2312" w:hAnsi="仿宋_GB2312" w:eastAsia="仿宋_GB2312"/>
          <w:b w:val="0"/>
          <w:sz w:val="32"/>
        </w:rPr>
        <w:t>建议企业强化用户洞察与敏捷开发，布局适老、健康、精准医疗产品线；集群层面建设需求信息共享平台，引导配套企业前瞻调整产能与工艺，提升对需求端变化的适配能力。需求结构的加速升级，为集群业务转型提供了明确清晰的方向。准确把握需求端的结构变化，是集群保持战略主动的重要前提。需求结构的加速升级，为集群业务转型提供了明确清晰的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山东生物医药形成济南（高新区）、烟台（荣昌）、淄博（高新区）等多点布局，淄博凭借新华制药、新华医疗双链主在化学药与医疗器械领域优势突出。但与苏州、上海、京津冀等生物医药高地相比，在创新药总量与高端环节仍有差距。错位发展、优势互补，是应对日趋激烈区域竞争的现实理性选择。应把总部研发的独特优势转化为难以复制模仿的竞争护城河。</w:t>
      </w:r>
    </w:p>
    <w:p>
      <w:pPr>
        <w:spacing w:lineRule="exact" w:line="600" w:after="0"/>
        <w:ind w:firstLine="420"/>
      </w:pPr>
      <w:r>
        <w:rPr>
          <w:rFonts w:ascii="仿宋_GB2312" w:hAnsi="仿宋_GB2312" w:eastAsia="仿宋_GB2312"/>
          <w:b w:val="0"/>
          <w:sz w:val="32"/>
        </w:rPr>
        <w:t>省内看，淄博与济南、烟台在生物药、化学药上存在同质化竞争，需以差异化定位避免内耗。淄博以原料药加医疗器械协同构筑壁垒，国家创新型产业集群试点形成独特标识。应把总部研发的独特优势转化为难以复制模仿的竞争护城河。区域协同联动优于零和博弈竞争，应积极寻求跨区域的联动共赢。应把总部研发的独特优势转化为难以复制模仿的竞争护城河。</w:t>
      </w:r>
    </w:p>
    <w:p>
      <w:pPr>
        <w:spacing w:lineRule="exact" w:line="600" w:after="0"/>
        <w:ind w:firstLine="420"/>
      </w:pPr>
      <w:r>
        <w:rPr>
          <w:rFonts w:ascii="仿宋_GB2312" w:hAnsi="仿宋_GB2312" w:eastAsia="仿宋_GB2312"/>
          <w:b w:val="0"/>
          <w:sz w:val="32"/>
        </w:rPr>
        <w:t>建议强化化学药加医疗器械双轮驱动，突出在解热镇痛、感染控制、放疗设备的错位优势，打造全国特色医药器械高地，以特色竞争力应对区域同质化竞争。区域协同联动优于零和博弈竞争，应积极寻求跨区域的联动共赢。错位发展、优势互补，是应对日趋激烈区域竞争的现实理性选择。区域协同联动优于零和博弈竞争，应积极寻求跨区域的联动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看，集群制造强、研发服务弱结构突出，中小企业多处于加工与仿制环节，原始创新与品牌能力弱，抗风险与议价不足。高端生物药、高值耗材仍依赖外购，产业链附加值有待提升。内部结构性矛盾的系统性破解，需要系统思维与久久为功的韧劲。应把做实做厚制造与核心产出，作为推动高质量发展的着力点。内部结构性矛盾的系统性破解，需要系统思维与久久为功的韧劲。</w:t>
      </w:r>
    </w:p>
    <w:p>
      <w:pPr>
        <w:spacing w:lineRule="exact" w:line="600" w:after="0"/>
        <w:ind w:firstLine="420"/>
      </w:pPr>
      <w:r>
        <w:rPr>
          <w:rFonts w:ascii="仿宋_GB2312" w:hAnsi="仿宋_GB2312" w:eastAsia="仿宋_GB2312"/>
          <w:b w:val="0"/>
          <w:sz w:val="32"/>
        </w:rPr>
        <w:t>创新资源分布不均，龙头平台开放度有限，中小企业获取技术溢出不充分；中试、临床、检测等公共服务供给不足，制约配套企业升级。人才结构性短缺影响价值链攀升。应把做实做厚制造与核心产出，作为推动高质量发展的着力点。打通内部循环堵点，是提升集群整体运行效能的关键所在环节。应把做实做厚制造与核心产出，作为推动高质量发展的着力点。</w:t>
      </w:r>
    </w:p>
    <w:p>
      <w:pPr>
        <w:spacing w:lineRule="exact" w:line="600" w:after="0"/>
        <w:ind w:firstLine="420"/>
      </w:pPr>
      <w:r>
        <w:rPr>
          <w:rFonts w:ascii="仿宋_GB2312" w:hAnsi="仿宋_GB2312" w:eastAsia="仿宋_GB2312"/>
          <w:b w:val="0"/>
          <w:sz w:val="32"/>
        </w:rPr>
        <w:t>部分企业绿色化、数字化水平不高，环保压力渐显。建议以专精特新培育提升配套质量，推动龙头平台能力开放，补强公共创新与人才服务，破解内部结构性矛盾。打通内部循环堵点，是提升集群整体运行效能的关键所在环节。内部结构性矛盾的系统性破解，需要系统思维与久久为功的韧劲。打通内部循环堵点，是提升集群整体运行效能的关键所在环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政策与市场两端。集采与医保控费压降药品耗材价格；国际贸易摩擦、关税与认证壁垒影响出口；关键原料与设备进口依赖在供应链扰动时形成断供风险。前瞻识别并研判外部风险，有助于守住集群平稳发展的安全底线。应以多元供应体系与自主可控能力，增强产业链的抗冲击韧性。前瞻识别并研判外部风险，有助于守住集群平稳发展的安全底线。</w:t>
      </w:r>
    </w:p>
    <w:p>
      <w:pPr>
        <w:spacing w:lineRule="exact" w:line="600" w:after="0"/>
        <w:ind w:firstLine="420"/>
      </w:pPr>
      <w:r>
        <w:rPr>
          <w:rFonts w:ascii="仿宋_GB2312" w:hAnsi="仿宋_GB2312" w:eastAsia="仿宋_GB2312"/>
          <w:b w:val="0"/>
          <w:sz w:val="32"/>
        </w:rPr>
        <w:t>技术迭代加速，若本地企业在创新药、高端影像等前沿布局滞后，可能被边缘化。原材料与海运价格波动挤压利润，对中小配套企业冲击更大。应以多元供应体系与自主可控能力，增强产业链的抗冲击韧性。建立健全风险监测预警机制，是稳健发展的重要保障性举措。应以多元供应体系与自主可控能力，增强产业链的抗冲击韧性。建立健全风险监测预警机制，是稳健发展的重要保障性举措。</w:t>
      </w:r>
    </w:p>
    <w:p>
      <w:pPr>
        <w:spacing w:lineRule="exact" w:line="600" w:after="0"/>
        <w:ind w:firstLine="420"/>
      </w:pPr>
      <w:r>
        <w:rPr>
          <w:rFonts w:ascii="仿宋_GB2312" w:hAnsi="仿宋_GB2312" w:eastAsia="仿宋_GB2312"/>
          <w:b w:val="0"/>
          <w:sz w:val="32"/>
        </w:rPr>
        <w:t>建议建立供应链风险预警与关键物料储备机制，支持企业技术备胎与国产替代；用好国际注册与海外合作对冲单一市场风险，提升集群整体抗外部冲击能力。建立健全风险监测预警机制，是稳健发展的重要保障性举措。前瞻识别并研判外部风险，有助于守住集群平稳发展的安全底线。建立健全风险监测预警机制，是稳健发展的重要保障性举措。</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山东省十强产业中医养健康部署，并入选国家创新型产业集群试点（培育）（2021年），省级特色产业集群认定（2022年）给予品牌与政策支持，国家火炬计划生物医药产业基地提供平台红利。国家、省、市多层次政策叠加，为集群营造了难得的发展窗口期。应抓紧把政策红利转化为具体的重大项目与实实在在的产业增量。</w:t>
      </w:r>
    </w:p>
    <w:p>
      <w:pPr>
        <w:spacing w:lineRule="exact" w:line="600" w:after="0"/>
        <w:ind w:firstLine="420"/>
      </w:pPr>
      <w:r>
        <w:rPr>
          <w:rFonts w:ascii="仿宋_GB2312" w:hAnsi="仿宋_GB2312" w:eastAsia="仿宋_GB2312"/>
          <w:b w:val="0"/>
          <w:sz w:val="32"/>
        </w:rPr>
        <w:t>生物医药与生物医学工程创新型产业集群获国家层面试点支持，享受创新资源集聚与政策倾斜；淄博市将生物医药作为重点产业，强化金融、土地、能源、环境总量等要素保障。应抓紧把政策红利转化为具体的重大项目与实实在在的产业增量。顶层政策环境的稳定性与连续性，增强了各类主体的长期稳定预期。应抓紧把政策红利转化为具体的重大项目与实实在在的产业增量。</w:t>
      </w:r>
    </w:p>
    <w:p>
      <w:pPr>
        <w:spacing w:lineRule="exact" w:line="600" w:after="0"/>
        <w:ind w:firstLine="420"/>
      </w:pPr>
      <w:r>
        <w:rPr>
          <w:rFonts w:ascii="仿宋_GB2312" w:hAnsi="仿宋_GB2312" w:eastAsia="仿宋_GB2312"/>
          <w:b w:val="0"/>
          <w:sz w:val="32"/>
        </w:rPr>
        <w:t>建议用足用好各级政策工具箱，将集群纳入省级链长制重点产业链，争取更多专项与试点，形成国家加省加市政策叠加效应，强化顶层政策对集群的牵引力。顶层政策环境的稳定性与连续性，增强了各类主体的长期稳定预期。国家、省、市多层次政策叠加，为集群营造了难得的发展窗口期。顶层政策环境的稳定性与连续性，增强了各类主体的长期稳定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淄博高新区实施四链共进行动与三大工程（产业集聚提升、产业研发提质、产业服务优化），对链主与专精特新企业给予奖励与梯次培育，支持新华制药、新华医疗等重大项目建设。政策的可及性与执行力强弱，直接决定了扶持举措的实际成效。应围绕企业全生命周期，提供精准化、套餐式的政策服务包。政策的可及性与执行力强弱，直接决定了扶持举措的实际成效。</w:t>
      </w:r>
    </w:p>
    <w:p>
      <w:pPr>
        <w:spacing w:lineRule="exact" w:line="600" w:after="0"/>
        <w:ind w:firstLine="420"/>
      </w:pPr>
      <w:r>
        <w:rPr>
          <w:rFonts w:ascii="仿宋_GB2312" w:hAnsi="仿宋_GB2312" w:eastAsia="仿宋_GB2312"/>
          <w:b w:val="0"/>
          <w:sz w:val="32"/>
        </w:rPr>
        <w:t>在用地、融资、人才、招商等方面提供精准服务，设产业基金、风险补偿池缓解融资难；对中国育奇谷、生物医药产业创新园给予空间与政策保障，支持创新药与高端制剂落地。应围绕企业全生命周期，提供精准化、套餐式的政策服务包。地方扶持的系统性协同推进，有助于形成产业发展的强大合力。应围绕企业全生命周期，提供精准化、套餐式的政策服务包。</w:t>
      </w:r>
    </w:p>
    <w:p>
      <w:pPr>
        <w:spacing w:lineRule="exact" w:line="600" w:after="0"/>
        <w:ind w:firstLine="420"/>
      </w:pPr>
      <w:r>
        <w:rPr>
          <w:rFonts w:ascii="仿宋_GB2312" w:hAnsi="仿宋_GB2312" w:eastAsia="仿宋_GB2312"/>
          <w:b w:val="0"/>
          <w:sz w:val="32"/>
        </w:rPr>
        <w:t>建议持续优化营商环境，推行标准地加承诺制改革，提升项目落地效率；扩大政策直达享惠覆盖面，让中小配套企业更便捷获得扶持，形成大中小企业协同受益的政策生态。地方扶持的系统性协同推进，有助于形成产业发展的强大合力。政策的可及性与执行力强弱，直接决定了扶持举措的实际成效。地方扶持的系统性协同推进，有助于形成产业发展的强大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高新区建设中国育奇谷、生物医药产业创新园、淄博科学城等载体，提供标准厂房、研发楼宇、中试空间。五大公共技术服务平台年均提供研发服务3万余家次，降低企业创新成本。公共配套的完善程度与质量，直接影响企业的落地体验与感受。应着力补齐从中试熟化到规模量产之间的公共服务薄弱环节。公共配套的完善程度与质量，直接影响企业的落地体验与感受。</w:t>
      </w:r>
    </w:p>
    <w:p>
      <w:pPr>
        <w:spacing w:lineRule="exact" w:line="600" w:after="0"/>
        <w:ind w:firstLine="420"/>
      </w:pPr>
      <w:r>
        <w:rPr>
          <w:rFonts w:ascii="仿宋_GB2312" w:hAnsi="仿宋_GB2312" w:eastAsia="仿宋_GB2312"/>
          <w:b w:val="0"/>
          <w:sz w:val="32"/>
        </w:rPr>
        <w:t>公共服务平台提供检验检测、中试孵化、政务代办等功能；与高校共建研究院、技术转移中心，赋能企业数字化转型与协同。学校、医院、人才公寓完善生活配套，提升宜居宜业水平。应着力补齐从中试熟化到规模量产之间的公共服务薄弱环节。优质高效的配套服务是集聚企业、留住企业的重要软性基础设施。应着力补齐从中试熟化到规模量产之间的公共服务薄弱环节。</w:t>
      </w:r>
    </w:p>
    <w:p>
      <w:pPr>
        <w:spacing w:lineRule="exact" w:line="600" w:after="0"/>
        <w:ind w:firstLine="420"/>
      </w:pPr>
      <w:r>
        <w:rPr>
          <w:rFonts w:ascii="仿宋_GB2312" w:hAnsi="仿宋_GB2312" w:eastAsia="仿宋_GB2312"/>
          <w:b w:val="0"/>
          <w:sz w:val="32"/>
        </w:rPr>
        <w:t>建议加密共享中试线、概念验证中心与产业大脑，强化生产性服务业配套；完善交通与能源基础设施，以高水平公共配套降低企业综合成本、增强集群吸引力。优质高效的配套服务是集聚企业、留住企业的重要软性基础设施。公共配套的完善程度与质量，直接影响企业的落地体验与感受。优质高效的配套服务是集聚企业、留住企业的重要软性基础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标准互认、产能共享、产学研对接中发挥作用。医药相关协会、产业联盟促进企业协作，组织展会与技术交流，提升集群知名度与协同效率。行业协会的赋能转型与功能升级，将释放更大的产业组织效能。应增强协会对广大中小企业的服务覆盖广度与专业服务深度。行业协会的赋能转型与功能升级，将释放更大的产业组织效能。</w:t>
      </w:r>
    </w:p>
    <w:p>
      <w:pPr>
        <w:spacing w:lineRule="exact" w:line="600" w:after="0"/>
        <w:ind w:firstLine="420"/>
      </w:pPr>
      <w:r>
        <w:rPr>
          <w:rFonts w:ascii="仿宋_GB2312" w:hAnsi="仿宋_GB2312" w:eastAsia="仿宋_GB2312"/>
          <w:b w:val="0"/>
          <w:sz w:val="32"/>
        </w:rPr>
        <w:t>创新型产业集群通过行业组织推动企业抱团，参与国家试点建设，增强集体议价与政策反馈能力；龙头企业牵头组建创新联合体，带动配套协同攻关。应增强协会对广大中小企业的服务覆盖广度与专业服务深度。发挥好桥梁纽带作用，有助于优化集群的内部治理与产业生态。应增强协会对广大中小企业的服务覆盖广度与专业服务深度。发挥好桥梁纽带作用，有助于优化集群的内部治理与产业生态。</w:t>
      </w:r>
    </w:p>
    <w:p>
      <w:pPr>
        <w:spacing w:lineRule="exact" w:line="600" w:after="0"/>
        <w:ind w:firstLine="420"/>
      </w:pPr>
      <w:r>
        <w:rPr>
          <w:rFonts w:ascii="仿宋_GB2312" w:hAnsi="仿宋_GB2312" w:eastAsia="仿宋_GB2312"/>
          <w:b w:val="0"/>
          <w:sz w:val="32"/>
        </w:rPr>
        <w:t>建议做实行业协会功能，赋予其在标准制定、共性技术攻关、人才培训中更大作用；建立集群企业定期对话机制，畅通政企沟通，发挥行业自律与协同治理效能。发挥好桥梁纽带作用，有助于优化集群的内部治理与产业生态。行业协会的赋能转型与功能升级，将释放更大的产业组织效能。发挥好桥梁纽带作用，有助于优化集群的内部治理与产业生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2025年新医药产业营业收入184.91亿元，2024年大健康产业营收约480亿元、集聚企业130家，成为高新区工业增长主引擎。集群拉动上下游产值、税收与投资持续增长。经济效应的巩固夯实，需要实体经济与总部经济实现协同发展。关联产业的强劲带动，放大了集群对区域整体经济的贡献度。经济效应的巩固夯实，需要实体经济与总部经济实现协同发展。</w:t>
      </w:r>
    </w:p>
    <w:p>
      <w:pPr>
        <w:spacing w:lineRule="exact" w:line="600" w:after="0"/>
        <w:ind w:firstLine="420"/>
      </w:pPr>
      <w:r>
        <w:rPr>
          <w:rFonts w:ascii="仿宋_GB2312" w:hAnsi="仿宋_GB2312" w:eastAsia="仿宋_GB2312"/>
          <w:b w:val="0"/>
          <w:sz w:val="32"/>
        </w:rPr>
        <w:t>新华制药、新华医疗等龙头持续释放产能，链主牵引形成规模支撑。本地配套率逐步提升，带动配套企业营收增长，产业链增加值在高新区经济中占比提升。关联产业的强劲带动，放大了集群对区域整体经济的贡献度。应注重增长的质量内涵，避免经济效应过度依赖结算型总部。关联产业的强劲带动，放大了集群对区域整体经济的贡献度。</w:t>
      </w:r>
    </w:p>
    <w:p>
      <w:pPr>
        <w:spacing w:lineRule="exact" w:line="600" w:after="0"/>
        <w:ind w:firstLine="420"/>
      </w:pPr>
      <w:r>
        <w:rPr>
          <w:rFonts w:ascii="仿宋_GB2312" w:hAnsi="仿宋_GB2312" w:eastAsia="仿宋_GB2312"/>
          <w:b w:val="0"/>
          <w:sz w:val="32"/>
        </w:rPr>
        <w:t>初步估算，集群对高新区规上工业增长贡献突出，以链主牵引实现产值、税收、投资多重拉动，规模效应与集聚效应转化为经济增量，巩固了医药产业在区域经济中的支柱地位。应注重增长的质量内涵，避免经济效应过度依赖结算型总部。经济效应的巩固夯实，需要实体经济与总部经济实现协同发展。应注重增长的质量内涵，避免经济效应过度依赖结算型总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集聚企业百余家，直接提供大量制造、研发、流通岗位，并带动商贸、生活服务等间接就业。新华制药、新华医疗等成为本地就业蓄水池，促进人才回流。就业结构的持续优化升级，使产业发展更好惠及各类劳动者。应扩大就业带动覆盖面向，兼顾知识型与技能型岗位稳定供给。就业结构的持续优化升级，使产业发展更好惠及各类劳动者。</w:t>
      </w:r>
    </w:p>
    <w:p>
      <w:pPr>
        <w:spacing w:lineRule="exact" w:line="600" w:after="0"/>
        <w:ind w:firstLine="420"/>
      </w:pPr>
      <w:r>
        <w:rPr>
          <w:rFonts w:ascii="仿宋_GB2312" w:hAnsi="仿宋_GB2312" w:eastAsia="仿宋_GB2312"/>
          <w:b w:val="0"/>
          <w:sz w:val="32"/>
        </w:rPr>
        <w:t>高新技术企业65家以专精特新为主，提供大量技能与研发岗位，提升就业质量。产业链配套网络使居民就近务工，缓解留守与通勤压力。应扩大就业带动覆盖面向，兼顾知识型与技能型岗位稳定供给。产业与就业的良性互动交融，增强了发展的社会基础与认同。应扩大就业带动覆盖面向，兼顾知识型与技能型岗位稳定供给。产业与就业的良性互动交融，增强了发展的社会基础与认同。</w:t>
      </w:r>
    </w:p>
    <w:p>
      <w:pPr>
        <w:spacing w:lineRule="exact" w:line="600" w:after="0"/>
        <w:ind w:firstLine="420"/>
      </w:pPr>
      <w:r>
        <w:rPr>
          <w:rFonts w:ascii="仿宋_GB2312" w:hAnsi="仿宋_GB2312" w:eastAsia="仿宋_GB2312"/>
          <w:b w:val="0"/>
          <w:sz w:val="32"/>
        </w:rPr>
        <w:t>建议强化技能培训与职教衔接，提升在岗工人数字化、绿色化技能；完善灵活就业与社保衔接，让集群发展红利更公平惠及本地居民，增强就业稳定性与包容性。产业与就业的良性互动交融，增强了发展的社会基础与认同。就业结构的持续优化升级，使产业发展更好惠及各类劳动者。产业与就业的良性互动交融，增强了发展的社会基础与认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技术与空间两端。新华医疗等向中小企业输出技术能力，带动配套企业工艺与管理升级；龙头技术需求牵引配套企业研发，形成创新溢出。溢出效应的本地高效转化，是集群价值外溢的关键最终落点。应以机制创新为牵引，促进技术外溢转化为本地产业新增量。溢出效应的本地高效转化，是集群价值外溢的关键最终落点。应以机制创新为牵引，促进技术外溢转化为本地产业新增量。</w:t>
      </w:r>
    </w:p>
    <w:p>
      <w:pPr>
        <w:spacing w:lineRule="exact" w:line="600" w:after="0"/>
        <w:ind w:firstLine="420"/>
      </w:pPr>
      <w:r>
        <w:rPr>
          <w:rFonts w:ascii="仿宋_GB2312" w:hAnsi="仿宋_GB2312" w:eastAsia="仿宋_GB2312"/>
          <w:b w:val="0"/>
          <w:sz w:val="32"/>
        </w:rPr>
        <w:t>空间上，集群辐射周边形成配套产业带与服务业，促进产城融合。化学药与医疗器械协同，溢出至上下游包材、装备、物流、CRO领域。应以机制创新为牵引，促进技术外溢转化为本地产业新增量。正向溢出效应的释放，有助于提升集群在全省产业转型中地位。应以机制创新为牵引，促进技术外溢转化为本地产业新增量。正向溢出效应的释放，有助于提升集群在全省产业转型中地位。</w:t>
      </w:r>
    </w:p>
    <w:p>
      <w:pPr>
        <w:spacing w:lineRule="exact" w:line="600" w:after="0"/>
        <w:ind w:firstLine="420"/>
      </w:pPr>
      <w:r>
        <w:rPr>
          <w:rFonts w:ascii="仿宋_GB2312" w:hAnsi="仿宋_GB2312" w:eastAsia="仿宋_GB2312"/>
          <w:b w:val="0"/>
          <w:sz w:val="32"/>
        </w:rPr>
        <w:t>建议建设产业创新服务综合体，促进溢出效应制度化；推动龙头平台能力进一步开放，鼓励配套企业融入更高层级供应链，放大技术、管理与空间正向外溢。正向溢出效应的释放，有助于提升集群在全省产业转型中地位。溢出效应的本地高效转化，是集群价值外溢的关键最终落点。正向溢出效应的释放，有助于提升集群在全省产业转型中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提升淄博高新区城市产业能级与国家创新型产业集群成色，增强区域认同感。产业园区配建学校、医院、人才公寓，改善人居环境，提升公共服务水平。社会效应的不断深化拓展，使产业发展更具温度与公共价值。应将惠民导向贯穿应用场景建设始终，切实造福广大市民群众。社会效应的不断深化拓展，使产业发展更具温度与公共价值。</w:t>
      </w:r>
    </w:p>
    <w:p>
      <w:pPr>
        <w:spacing w:lineRule="exact" w:line="600" w:after="0"/>
        <w:ind w:firstLine="420"/>
      </w:pPr>
      <w:r>
        <w:rPr>
          <w:rFonts w:ascii="仿宋_GB2312" w:hAnsi="仿宋_GB2312" w:eastAsia="仿宋_GB2312"/>
          <w:b w:val="0"/>
          <w:sz w:val="32"/>
        </w:rPr>
        <w:t>集群带动共同富裕，配套企业吸纳劳动力、增加居民收入；职教与产业融合提升人力资本。绿色医药园区建设改善生态环境质量。应将惠民导向贯穿应用场景建设始终，切实造福广大市民群众。绿色智慧的发展成果，提升了城市治理与公共服务的整体水平。应将惠民导向贯穿应用场景建设始终，切实造福广大市民群众。绿色智慧的发展成果，提升了城市治理与公共服务的整体水平。</w:t>
      </w:r>
    </w:p>
    <w:p>
      <w:pPr>
        <w:spacing w:lineRule="exact" w:line="600" w:after="0"/>
        <w:ind w:firstLine="420"/>
      </w:pPr>
      <w:r>
        <w:rPr>
          <w:rFonts w:ascii="仿宋_GB2312" w:hAnsi="仿宋_GB2312" w:eastAsia="仿宋_GB2312"/>
          <w:b w:val="0"/>
          <w:sz w:val="32"/>
        </w:rPr>
        <w:t>建议将集群发展与城市更新、乡村振兴统筹，强化公共服务均等化；发挥龙头企业社会责任，参与公益与产教融合，让产业发展更好反哺社会民生。绿色智慧的发展成果，提升了城市治理与公共服务的整体水平。社会效应的不断深化拓展，使产业发展更具温度与公共价值。绿色智慧的发展成果，提升了城市治理与公共服务的整体水平。社会效应的不断深化拓展，使产业发展更具温度与公共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存在四强四弱：制造强而研发弱、原料强而创新药弱、规模强而品牌弱、内销强而高端外销弱。高端生物药与高值耗材依赖外购，中小企业附加值偏低，创新与人才分布不均。问题清单的清晰厘定，为后续精准施策提供了明确靶向与坐标。应以结构性改革为统领，系统破除制约集群能级跃升的藩篱。问题清单的清晰厘定，为后续精准施策提供了明确靶向与坐标。</w:t>
      </w:r>
    </w:p>
    <w:p>
      <w:pPr>
        <w:spacing w:lineRule="exact" w:line="600" w:after="0"/>
        <w:ind w:firstLine="420"/>
      </w:pPr>
      <w:r>
        <w:rPr>
          <w:rFonts w:ascii="仿宋_GB2312" w:hAnsi="仿宋_GB2312" w:eastAsia="仿宋_GB2312"/>
          <w:b w:val="0"/>
          <w:sz w:val="32"/>
        </w:rPr>
        <w:t>产业链在创新药、核心生物原料、研发服务环节存在短板；价值链偏中上游，微笑曲线两端提升不足；区域同质化竞争与政策环境波动构成持续挑战。应以结构性改革为统领，系统破除制约集群能级跃升的藩篱。正视问题、补齐短板，是集群迈向高质量阶段的必经现实之路。应以结构性改革为统领，系统破除制约集群能级跃升的藩篱。正视问题、补齐短板，是集群迈向高质量阶段的必经现实之路。</w:t>
      </w:r>
    </w:p>
    <w:p>
      <w:pPr>
        <w:spacing w:lineRule="exact" w:line="600" w:after="0"/>
        <w:ind w:firstLine="420"/>
      </w:pPr>
      <w:r>
        <w:rPr>
          <w:rFonts w:ascii="仿宋_GB2312" w:hAnsi="仿宋_GB2312" w:eastAsia="仿宋_GB2312"/>
          <w:b w:val="0"/>
          <w:sz w:val="32"/>
        </w:rPr>
        <w:t>上述问题相互关联，需在补链强链、企业培育、创新提升、要素保障、政策优化等方面系统施策，以问题导向推动集群由规模集聚向高质量跃升。正视问题、补齐短板，是集群迈向高质量阶段的必经现实之路。问题清单的清晰厘定，为后续精准施策提供了明确靶向与坐标。正视问题、补齐短板，是集群迈向高质量阶段的必经现实之路。问题清单的清晰厘定，为后续精准施策提供了明确靶向与坐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突破高端生物药、创新药核心靶点、高值耗材与关键医用材料，支持国产替代与本地化配套；补齐CRO、CDMO、临床与检测认证等生产性服务短板。三链协同同步发力，方能筑牢集群安全稳定运行与竞争力的根基。应以应用场景为牵引，推动延链环节尽快形成规模与集群效应。三链协同同步发力，方能筑牢集群安全稳定运行与竞争力的根基。</w:t>
      </w:r>
    </w:p>
    <w:p>
      <w:pPr>
        <w:spacing w:lineRule="exact" w:line="600" w:after="0"/>
        <w:ind w:firstLine="420"/>
      </w:pPr>
      <w:r>
        <w:rPr>
          <w:rFonts w:ascii="仿宋_GB2312" w:hAnsi="仿宋_GB2312" w:eastAsia="仿宋_GB2312"/>
          <w:b w:val="0"/>
          <w:sz w:val="32"/>
        </w:rPr>
        <w:t>强链：做强解热镇痛、感染控制、放疗设备等优势环节，提升新华制药、新华医疗全球竞争力；强化双链主协同，稳固原料药与器械闭环。应以应用场景为牵引，推动延链环节尽快形成规模与集群效应。补链强链延链各项举措，需与区域资源禀赋紧密结合起来推进。应以应用场景为牵引，推动延链环节尽快形成规模与集群效应。补链强链延链各项举措，需与区域资源禀赋紧密结合起来推进。</w:t>
      </w:r>
    </w:p>
    <w:p>
      <w:pPr>
        <w:spacing w:lineRule="exact" w:line="600" w:after="0"/>
        <w:ind w:firstLine="420"/>
      </w:pPr>
      <w:r>
        <w:rPr>
          <w:rFonts w:ascii="仿宋_GB2312" w:hAnsi="仿宋_GB2312" w:eastAsia="仿宋_GB2312"/>
          <w:b w:val="0"/>
          <w:sz w:val="32"/>
        </w:rPr>
        <w:t>延链：向创新药、高端制剂、智慧医疗延伸，拓展家用健康与康复器械；向上游生物材料、下游医药流通与医疗服务延伸，构建全生命周期产业链，提升价值链位势。补链强链延链各项举措，需与区域资源禀赋紧密结合起来推进。三链协同同步发力，方能筑牢集群安全稳定运行与竞争力的根基。补链强链延链各项举措，需与区域资源禀赋紧密结合起来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专精特新梯次培育，推动中小配套企业从仿制向改良型新药、ODM转型，力争新增更多单项冠军与专精特新，做大创新型产业集群基本盘。企业梯次健康成长，是集群活力与韧性的根本源头与依托。应营造大中小企业融通、共生共荣的良性产业生态与氛围。企业梯次健康成长，是集群活力与韧性的根本源头与依托。应营造大中小企业融通、共生共荣的良性产业生态与氛围。</w:t>
      </w:r>
    </w:p>
    <w:p>
      <w:pPr>
        <w:spacing w:lineRule="exact" w:line="600" w:after="0"/>
        <w:ind w:firstLine="420"/>
      </w:pPr>
      <w:r>
        <w:rPr>
          <w:rFonts w:ascii="仿宋_GB2312" w:hAnsi="仿宋_GB2312" w:eastAsia="仿宋_GB2312"/>
          <w:b w:val="0"/>
          <w:sz w:val="32"/>
        </w:rPr>
        <w:t>支持龙头平台能力开放，以订单、技术、标准带动配套企业升级；鼓励金城医药、千汇生物、安得医疗以技术品牌切入高端，培育隐形冠军。应营造大中小企业融通、共生共荣的良性产业生态与氛围。市场化领军企业的不断壮大，将优化集群整体的企业结构。应营造大中小企业融通、共生共荣的良性产业生态与氛围。市场化领军企业的不断壮大，将优化集群整体的企业结构。</w:t>
      </w:r>
    </w:p>
    <w:p>
      <w:pPr>
        <w:spacing w:lineRule="exact" w:line="600" w:after="0"/>
        <w:ind w:firstLine="420"/>
      </w:pPr>
      <w:r>
        <w:rPr>
          <w:rFonts w:ascii="仿宋_GB2312" w:hAnsi="仿宋_GB2312" w:eastAsia="仿宋_GB2312"/>
          <w:b w:val="0"/>
          <w:sz w:val="32"/>
        </w:rPr>
        <w:t>建议建立企业培育服务专员制度，提供股改、上市、并购对接；支持企业抱团出海，以集群整体形象参与国际竞争，提升企业群体竞争力与抗风险能力。市场化领军企业的不断壮大，将优化集群整体的企业结构。企业梯次健康成长，是集群活力与韧性的根本源头与依托。市场化领军企业的不断壮大，将优化集群整体的企业结构。企业梯次健康成长，是集群活力与韧性的根本源头与依托。</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龙头联合配套企业、高校院所组建创新联合体，攻关创新药、高端影像、智能放疗等前沿技术，提升原创成果供给。创新体系自身的完善程度，决定集群长期竞争力的高度与厚度。应以场景驱动为手段，加速科研成果向现实生产力有效转化。创新体系自身的完善程度，决定集群长期竞争力的高度与厚度。应以场景驱动为手段，加速科研成果向现实生产力有效转化。</w:t>
      </w:r>
    </w:p>
    <w:p>
      <w:pPr>
        <w:spacing w:lineRule="exact" w:line="600" w:after="0"/>
        <w:ind w:firstLine="420"/>
      </w:pPr>
      <w:r>
        <w:rPr>
          <w:rFonts w:ascii="仿宋_GB2312" w:hAnsi="仿宋_GB2312" w:eastAsia="仿宋_GB2312"/>
          <w:b w:val="0"/>
          <w:sz w:val="32"/>
        </w:rPr>
        <w:t>补强公共创新平台，建设共享中试线、概念验证中心与产业大脑，降低中小企业创新门槛；完善知识产权交易与收益分配，提升本地转化率。应以场景驱动为手段，加速科研成果向现实生产力有效转化。全链条创新生态构建，需统筹基础研究、技术攻关与产业化。应以场景驱动为手段，加速科研成果向现实生产力有效转化。全链条创新生态构建，需统筹基础研究、技术攻关与产业化。</w:t>
      </w:r>
    </w:p>
    <w:p>
      <w:pPr>
        <w:spacing w:lineRule="exact" w:line="600" w:after="0"/>
        <w:ind w:firstLine="420"/>
      </w:pPr>
      <w:r>
        <w:rPr>
          <w:rFonts w:ascii="仿宋_GB2312" w:hAnsi="仿宋_GB2312" w:eastAsia="仿宋_GB2312"/>
          <w:b w:val="0"/>
          <w:sz w:val="32"/>
        </w:rPr>
        <w:t>建议设立集群创新专项资金，支持首台套、首批次应用；深化产教融合引育人才，以高强度、可持续研发投入支撑集群向价值链高端攀升。全链条创新生态构建，需统筹基础研究、技术攻关与产业化。创新体系自身的完善程度，决定集群长期竞争力的高度与厚度。全链条创新生态构建，需统筹基础研究、技术攻关与产业化。创新体系自身的完善程度，决定集群长期竞争力的高度与厚度。</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以亩均效益优化存量，盘活闲置用地，保障重点项目；争取省级能耗指标，建设绿色医药园区示范。资本方面，设生物医药产业基金，推广供应链金融与知识产权质押。要素资源的精准保障，是政策落地生根与企业成长的关键支撑。应推动数据等新型要素与传统要素协同发力、相互赋能增效。要素资源的精准保障，是政策落地生根与企业成长的关键支撑。</w:t>
      </w:r>
    </w:p>
    <w:p>
      <w:pPr>
        <w:spacing w:lineRule="exact" w:line="600" w:after="0"/>
        <w:ind w:firstLine="420"/>
      </w:pPr>
      <w:r>
        <w:rPr>
          <w:rFonts w:ascii="仿宋_GB2312" w:hAnsi="仿宋_GB2312" w:eastAsia="仿宋_GB2312"/>
          <w:b w:val="0"/>
          <w:sz w:val="32"/>
        </w:rPr>
        <w:t>人才方面，深化产教融合定向培养药学、医疗器械、生物工程人才，完善人才公寓与公共服务，缓解结构性短缺。数据要素方面，依托公共平台打通上下游数据，提升协同效率。应推动数据等新型要素与传统要素协同发力、相互赋能增效。打通要素流通堵点痛点，可有效降低企业制度性交易成本。应推动数据等新型要素与传统要素协同发力、相互赋能增效。</w:t>
      </w:r>
    </w:p>
    <w:p>
      <w:pPr>
        <w:spacing w:lineRule="exact" w:line="600" w:after="0"/>
        <w:ind w:firstLine="420"/>
      </w:pPr>
      <w:r>
        <w:rPr>
          <w:rFonts w:ascii="仿宋_GB2312" w:hAnsi="仿宋_GB2312" w:eastAsia="仿宋_GB2312"/>
          <w:b w:val="0"/>
          <w:sz w:val="32"/>
        </w:rPr>
        <w:t>建议建立要素保障专班，统筹土地、能耗、资金、人才指标向高效益项目倾斜，以要素市场化配置提升集群投入产出效率与可持续发展能力。打通要素流通堵点痛点，可有效降低企业制度性交易成本。要素资源的精准保障，是政策落地生根与企业成长的关键支撑。打通要素流通堵点痛点，可有效降低企业制度性交易成本。要素资源的精准保障，是政策落地生根与企业成长的关键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将集群纳入省级链长制重点产业链，争取国家与省级专项、试点叠加；用足国家创新型产业集群试点（培育）制度红利，扩大高水平开放政策惠及面。政策的协同性与精准度，是衡量政府治理效能的重要标尺之一。应建立闭环评估反馈机制，动态优化政策实施的实际效果。政策的协同性与精准度，是衡量政府治理效能的重要标尺之一。应建立闭环评估反馈机制，动态优化政策实施的实际效果。</w:t>
      </w:r>
    </w:p>
    <w:p>
      <w:pPr>
        <w:spacing w:lineRule="exact" w:line="600" w:after="0"/>
        <w:ind w:firstLine="420"/>
      </w:pPr>
      <w:r>
        <w:rPr>
          <w:rFonts w:ascii="仿宋_GB2312" w:hAnsi="仿宋_GB2312" w:eastAsia="仿宋_GB2312"/>
          <w:b w:val="0"/>
          <w:sz w:val="32"/>
        </w:rPr>
        <w:t>优化营商环境，推行标准地加承诺制，提升项目落地效率；扩大政策直达享惠，让中小配套企业便捷获扶持。做实行业协会在标准、攻关、人才中的作用。应建立闭环评估反馈机制，动态优化政策实施的实际效果。以优质营商环境为基石，巩固并持续放大省级特色集群突出优势。应建立闭环评估反馈机制，动态优化政策实施的实际效果。以优质营商环境为基石，巩固并持续放大省级特色集群突出优势。</w:t>
      </w:r>
    </w:p>
    <w:p>
      <w:pPr>
        <w:spacing w:lineRule="exact" w:line="600" w:after="0"/>
        <w:ind w:firstLine="420"/>
      </w:pPr>
      <w:r>
        <w:rPr>
          <w:rFonts w:ascii="仿宋_GB2312" w:hAnsi="仿宋_GB2312" w:eastAsia="仿宋_GB2312"/>
          <w:b w:val="0"/>
          <w:sz w:val="32"/>
        </w:rPr>
        <w:t>建议建立集群发展监测评估机制，定期体检、动态纠偏；强化部门协同与政策集成，形成国家加省加市加区四级联动的政策闭环，护航集群行稳致远。以优质营商环境为基石，巩固并持续放大省级特色集群突出优势。政策的协同性与精准度，是衡量政府治理效能的重要标尺之一。以优质营商环境为基石，巩固并持续放大省级特色集群突出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淄博高新区. 高新区新医药产业「链」出发展新动能. http://www.china-zibo.gov.cn/art/2026/7/24/art_17892_3012336.html</w:t>
      </w:r>
    </w:p>
    <w:p>
      <w:pPr>
        <w:spacing w:lineRule="exact" w:line="600" w:after="0"/>
        <w:ind w:firstLine="0"/>
      </w:pPr>
      <w:r>
        <w:rPr>
          <w:rFonts w:ascii="仿宋_GB2312" w:hAnsi="仿宋_GB2312" w:eastAsia="仿宋_GB2312"/>
          <w:b w:val="0"/>
          <w:sz w:val="32"/>
        </w:rPr>
        <w:t>2. 淄博高新区. 「链」就新集群丨淄博高新区激发新医药产业集群效应. http://www.china-zibo.gov.cn/</w:t>
      </w:r>
    </w:p>
    <w:p>
      <w:pPr>
        <w:spacing w:lineRule="exact" w:line="600" w:after="0"/>
        <w:ind w:firstLine="0"/>
      </w:pPr>
      <w:r>
        <w:rPr>
          <w:rFonts w:ascii="仿宋_GB2312" w:hAnsi="仿宋_GB2312" w:eastAsia="仿宋_GB2312"/>
          <w:b w:val="0"/>
          <w:sz w:val="32"/>
        </w:rPr>
        <w:t>3. 中国高新网. 淄博高新区打造具有国际竞争力的大健康产业集群. http://www.chinahightech.com/yuanqu/2024-12/26/content_279067.html</w:t>
      </w:r>
    </w:p>
    <w:p>
      <w:pPr>
        <w:spacing w:lineRule="exact" w:line="600" w:after="0"/>
        <w:ind w:firstLine="0"/>
      </w:pPr>
      <w:r>
        <w:rPr>
          <w:rFonts w:ascii="仿宋_GB2312" w:hAnsi="仿宋_GB2312" w:eastAsia="仿宋_GB2312"/>
          <w:b w:val="0"/>
          <w:sz w:val="32"/>
        </w:rPr>
        <w:t>4. 淄博市人民政府. 淄博高新技术产业开发区概况. https://www.zibo.gov.cn/</w:t>
      </w:r>
    </w:p>
    <w:p>
      <w:pPr>
        <w:spacing w:lineRule="exact" w:line="600" w:after="0"/>
        <w:ind w:firstLine="0"/>
      </w:pPr>
      <w:r>
        <w:rPr>
          <w:rFonts w:ascii="仿宋_GB2312" w:hAnsi="仿宋_GB2312" w:eastAsia="仿宋_GB2312"/>
          <w:b w:val="0"/>
          <w:sz w:val="32"/>
        </w:rPr>
        <w:t>5. 人民网. 助力城市发展 淄博绘就生物医药产业宏伟蓝图. http://finance.people.com.cn/</w:t>
      </w:r>
    </w:p>
    <w:p>
      <w:pPr>
        <w:spacing w:lineRule="exact" w:line="600" w:after="0"/>
        <w:ind w:firstLine="0"/>
      </w:pPr>
      <w:r>
        <w:rPr>
          <w:rFonts w:ascii="仿宋_GB2312" w:hAnsi="仿宋_GB2312" w:eastAsia="仿宋_GB2312"/>
          <w:b w:val="0"/>
          <w:sz w:val="32"/>
        </w:rPr>
        <w:t>6. 中国高新网. 淄博高新区6家企业入选山东省出口品牌企业名单. http://www.chinahightech.com/yuanqu/2026-07/17/content_548866.html</w:t>
      </w:r>
    </w:p>
    <w:p>
      <w:pPr>
        <w:spacing w:lineRule="exact" w:line="600" w:after="0"/>
        <w:ind w:firstLine="0"/>
      </w:pPr>
      <w:r>
        <w:rPr>
          <w:rFonts w:ascii="仿宋_GB2312" w:hAnsi="仿宋_GB2312" w:eastAsia="仿宋_GB2312"/>
          <w:b w:val="0"/>
          <w:sz w:val="32"/>
        </w:rPr>
        <w:t>7. 山东省工业和信息化厅. 2022年度山东省特色产业集群名单. http://gxt.shandong.gov.cn/</w:t>
      </w:r>
    </w:p>
    <w:p>
      <w:pPr>
        <w:spacing w:lineRule="exact" w:line="600" w:after="0"/>
        <w:ind w:firstLine="0"/>
      </w:pPr>
      <w:r>
        <w:rPr>
          <w:rFonts w:ascii="仿宋_GB2312" w:hAnsi="仿宋_GB2312" w:eastAsia="仿宋_GB2312"/>
          <w:b w:val="0"/>
          <w:sz w:val="32"/>
        </w:rPr>
        <w:t>8. 搜狐. 淄博高新区创新实施三大工程 推动生物医药产业集聚成势. https://www.sohu.com/a/839019836_121106991</w:t>
      </w:r>
    </w:p>
    <w:p>
      <w:pPr>
        <w:spacing w:lineRule="exact" w:line="600" w:after="0"/>
        <w:ind w:firstLine="0"/>
      </w:pPr>
      <w:r>
        <w:rPr>
          <w:rFonts w:ascii="仿宋_GB2312" w:hAnsi="仿宋_GB2312" w:eastAsia="仿宋_GB2312"/>
          <w:b w:val="0"/>
          <w:sz w:val="32"/>
        </w:rPr>
        <w:t>9. 山东新华制药股份有限公司. 企业概况. http://www.xhzy.com/</w:t>
      </w:r>
    </w:p>
    <w:p>
      <w:pPr>
        <w:spacing w:lineRule="exact" w:line="600" w:after="0"/>
        <w:ind w:firstLine="0"/>
      </w:pPr>
      <w:r>
        <w:rPr>
          <w:rFonts w:ascii="仿宋_GB2312" w:hAnsi="仿宋_GB2312" w:eastAsia="仿宋_GB2312"/>
          <w:b w:val="0"/>
          <w:sz w:val="32"/>
        </w:rPr>
        <w:t>10. 山东新华医疗器械股份有限公司. 企业概况. http://www.shinva.com/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