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 w:after="360" w:lineRule="exact" w:line="600"/>
        <w:jc w:val="center"/>
      </w:pPr>
      <w:r>
        <w:rPr>
          <w:rFonts w:ascii="方正小标宋简体" w:hAnsi="方正小标宋简体" w:eastAsia="方正小标宋简体"/>
          <w:b w:val="0"/>
          <w:sz w:val="44"/>
        </w:rPr>
        <w:t>山东烟台芝罘区(环境控制装备)特色产业集群发展研究报告</w:t>
      </w:r>
    </w:p>
    <w:p>
      <w:pPr>
        <w:spacing w:before="240" w:after="120" w:lineRule="exact" w:line="600"/>
      </w:pPr>
      <w:r>
        <w:rPr>
          <w:rFonts w:ascii="黑体" w:hAnsi="黑体" w:eastAsia="黑体"/>
          <w:b w:val="0"/>
          <w:sz w:val="32"/>
        </w:rPr>
        <w:t>一、集群基础概况</w:t>
      </w:r>
    </w:p>
    <w:p>
      <w:pPr>
        <w:spacing w:before="120" w:after="120" w:lineRule="exact" w:line="600"/>
      </w:pPr>
      <w:r>
        <w:rPr>
          <w:rFonts w:ascii="楷体_GB2312" w:hAnsi="楷体_GB2312" w:eastAsia="楷体_GB2312"/>
          <w:b w:val="0"/>
          <w:sz w:val="32"/>
        </w:rPr>
        <w:t>（一）集群基本属性</w:t>
      </w:r>
    </w:p>
    <w:p>
      <w:pPr>
        <w:spacing w:lineRule="exact" w:line="600" w:after="0"/>
        <w:ind w:firstLine="420"/>
      </w:pPr>
      <w:r>
        <w:rPr>
          <w:rFonts w:ascii="仿宋_GB2312" w:hAnsi="仿宋_GB2312" w:eastAsia="仿宋_GB2312"/>
          <w:b w:val="0"/>
          <w:sz w:val="32"/>
        </w:rPr>
        <w:t>山东烟台芝罘区（环境控制装备）特色产业集群位于烟台市中心城区芝罘区，以冰轮环境技术股份有限公司为龙头，聚焦温度、压力、冷热能及多形态能源的控制与治理装备。集群于2022年入选省级特色产业集群，是烟台市重点培育的五大省级特色产业集群之一，产业辨识度高、特色鲜明。上述情况表明，该领域仍有较大优化空间，需予以重视并系统施策。</w:t>
      </w:r>
    </w:p>
    <w:p>
      <w:pPr>
        <w:spacing w:lineRule="exact" w:line="600" w:after="0"/>
        <w:ind w:firstLine="420"/>
      </w:pPr>
      <w:r>
        <w:rPr>
          <w:rFonts w:ascii="仿宋_GB2312" w:hAnsi="仿宋_GB2312" w:eastAsia="仿宋_GB2312"/>
          <w:b w:val="0"/>
          <w:sz w:val="32"/>
        </w:rPr>
        <w:t>从属性定位看，集群属典型的节能环保装备制造型产业集群，业务覆盖低温冷冻、中央空调、环保制热、能源化工装备、精密铸件、氢能开发、智慧服务等多个领域，能够提供水、冷、热、电、固、废等能源利用的全生命周期管理，是“环境控制+节能降碳”相融合的系统解决方案供给基地。从发展态势看，相关环节的提质增效与结构升级任务较为紧迫。</w:t>
      </w:r>
    </w:p>
    <w:p>
      <w:pPr>
        <w:spacing w:lineRule="exact" w:line="600" w:after="0"/>
        <w:ind w:firstLine="420"/>
      </w:pPr>
      <w:r>
        <w:rPr>
          <w:rFonts w:ascii="仿宋_GB2312" w:hAnsi="仿宋_GB2312" w:eastAsia="仿宋_GB2312"/>
          <w:b w:val="0"/>
          <w:sz w:val="32"/>
        </w:rPr>
        <w:t>从功能定位看，集群紧扣国家“双碳”战略与绿色低碳高质量发展要求，以环境控制节能技术制造业创新中心为纽带，面向工业、建筑、市政等场景提供减碳增效装备。其以龙头企业引领、孵化园集聚中小企业为组织方式，在环渤海节能环保装备格局中占据重要特色地位，是芝罘区工业经济的重要增长极。总体判断，短板补强与优势巩固应同步推进，不可偏废其一。</w:t>
      </w:r>
    </w:p>
    <w:p>
      <w:pPr>
        <w:spacing w:before="120" w:after="120" w:lineRule="exact" w:line="600"/>
      </w:pPr>
      <w:r>
        <w:rPr>
          <w:rFonts w:ascii="楷体_GB2312" w:hAnsi="楷体_GB2312" w:eastAsia="楷体_GB2312"/>
          <w:b w:val="0"/>
          <w:sz w:val="32"/>
        </w:rPr>
        <w:t>（二）规模体量</w:t>
      </w:r>
    </w:p>
    <w:p>
      <w:pPr>
        <w:spacing w:lineRule="exact" w:line="600" w:after="0"/>
        <w:ind w:firstLine="420"/>
      </w:pPr>
      <w:r>
        <w:rPr>
          <w:rFonts w:ascii="仿宋_GB2312" w:hAnsi="仿宋_GB2312" w:eastAsia="仿宋_GB2312"/>
          <w:b w:val="0"/>
          <w:sz w:val="32"/>
        </w:rPr>
        <w:t>集群规模体量在烟台市级特色产业集群中居中，但单位质效较高。据烟台市工信局公开信息，集群拥有企业一百零四家，其中总装企业十一家、配套企业九十三家，2021年实现营业收入一百一十八亿元，呈现“龙头强、配套全”的稳健结构，体量能级在环境控制装备细分领域居于区域前列。需重点关注结构性矛盾，防止低水平重复建设与同质化竞争。</w:t>
      </w:r>
    </w:p>
    <w:p>
      <w:pPr>
        <w:spacing w:lineRule="exact" w:line="600" w:after="0"/>
        <w:ind w:firstLine="420"/>
      </w:pPr>
      <w:r>
        <w:rPr>
          <w:rFonts w:ascii="仿宋_GB2312" w:hAnsi="仿宋_GB2312" w:eastAsia="仿宋_GB2312"/>
          <w:b w:val="0"/>
          <w:sz w:val="32"/>
        </w:rPr>
        <w:t>从企业规模看，冰轮环境作为链主，2023年集团营收、利润同比分别增长约百分之二十一与百分之三十八，获批国家级绿色工厂、国家级服务型制造示范企业，七项产品入选国家和省节能降碳技术装备推荐目录，是集群体量与盈利的主要支撑，引领效应明显，带动配套企业协同发展。这为后续补链强链与政策精准供给提供了明确着力点。</w:t>
      </w:r>
    </w:p>
    <w:p>
      <w:pPr>
        <w:spacing w:lineRule="exact" w:line="600" w:after="0"/>
        <w:ind w:firstLine="420"/>
      </w:pPr>
      <w:r>
        <w:rPr>
          <w:rFonts w:ascii="仿宋_GB2312" w:hAnsi="仿宋_GB2312" w:eastAsia="仿宋_GB2312"/>
          <w:b w:val="0"/>
          <w:sz w:val="32"/>
        </w:rPr>
        <w:t>面向未来，芝罘区提出巩固和放大以冰轮为龙头的环境温度控制装备产业领跑优势，吸引专精特新企业卡位入链。当前集群规模虽不及重化工集群，但技术密集与绿色属性突出，增加值率较高。总体看，集群体量稳健、质效优良，增长目标清晰明确。其成效将直接影响集群整体竞争力与可持续发展的内生动力。应在巩固现有优势基础上，加快向高端化、绿色化方向迈进。</w:t>
      </w:r>
    </w:p>
    <w:p>
      <w:pPr>
        <w:spacing w:before="120" w:after="120" w:lineRule="exact" w:line="600"/>
      </w:pPr>
      <w:r>
        <w:rPr>
          <w:rFonts w:ascii="楷体_GB2312" w:hAnsi="楷体_GB2312" w:eastAsia="楷体_GB2312"/>
          <w:b w:val="0"/>
          <w:sz w:val="32"/>
        </w:rPr>
        <w:t>（三）主导产业</w:t>
      </w:r>
    </w:p>
    <w:p>
      <w:pPr>
        <w:spacing w:lineRule="exact" w:line="600" w:after="0"/>
        <w:ind w:firstLine="420"/>
      </w:pPr>
      <w:r>
        <w:rPr>
          <w:rFonts w:ascii="仿宋_GB2312" w:hAnsi="仿宋_GB2312" w:eastAsia="仿宋_GB2312"/>
          <w:b w:val="0"/>
          <w:sz w:val="32"/>
        </w:rPr>
        <w:t>集群主导产业涵盖环境治理装备、环境监测仪器与环保工程服务三大板块。环境治理装备以低温冷冻、中央空调、环保制热、能源化工装备为核心，冰轮环境可提供从零下二百七十一摄氏度到八百摄氏度宽温区的冷热能控制，是全球环境温度控制范围最广的系统解决方案服务商之一。相关举措的落地见效，有赖于要素保障、平台支撑与改革协同。</w:t>
      </w:r>
    </w:p>
    <w:p>
      <w:pPr>
        <w:spacing w:lineRule="exact" w:line="600" w:after="0"/>
        <w:ind w:firstLine="420"/>
      </w:pPr>
      <w:r>
        <w:rPr>
          <w:rFonts w:ascii="仿宋_GB2312" w:hAnsi="仿宋_GB2312" w:eastAsia="仿宋_GB2312"/>
          <w:b w:val="0"/>
          <w:sz w:val="32"/>
        </w:rPr>
        <w:t>环境监测与节能装备方面，集群依托哈特福德数字工厂与低碳技术体系，发展高效压缩机、热泵、CCUS碳捕集利用装备及氢能压缩机等，覆盖冷、热、汽、电全系列需求；环保工程服务则向智慧能源管理、工业余热回收、城市低碳供暖延伸，推动装备向“产品+服务”一体化演进，应用场景不断拓宽。对此应坚持问题导向，分步施策、精准发力，务求实效。</w:t>
      </w:r>
    </w:p>
    <w:p>
      <w:pPr>
        <w:spacing w:lineRule="exact" w:line="600" w:after="0"/>
        <w:ind w:firstLine="420"/>
      </w:pPr>
      <w:r>
        <w:rPr>
          <w:rFonts w:ascii="仿宋_GB2312" w:hAnsi="仿宋_GB2312" w:eastAsia="仿宋_GB2312"/>
          <w:b w:val="0"/>
          <w:sz w:val="32"/>
        </w:rPr>
        <w:t>此外，氢能装备成为新增长点，冰轮联合院所研制的氢气压缩与循环泵产品填补国内空白，成立氢能研究院推动关键设备国产化。中集来福士（海工）、宏远氧业（载人压力容器）等也为区域高端装备提供支撑。主导产业结构趋于“装备+材料+服务”协同，市场适配性强。长远看，集约化、循环化与数字化是必由之路，须久久为功。这一态势要求企业、园区与要素市场协同发力，提升韧性与效率。</w:t>
      </w:r>
    </w:p>
    <w:p>
      <w:pPr>
        <w:spacing w:before="240" w:after="120" w:lineRule="exact" w:line="600"/>
      </w:pPr>
      <w:r>
        <w:rPr>
          <w:rFonts w:ascii="黑体" w:hAnsi="黑体" w:eastAsia="黑体"/>
          <w:b w:val="0"/>
          <w:sz w:val="32"/>
        </w:rPr>
        <w:t>二、产业链结构分析</w:t>
      </w:r>
    </w:p>
    <w:p>
      <w:pPr>
        <w:spacing w:before="120" w:after="120" w:lineRule="exact" w:line="600"/>
      </w:pPr>
      <w:r>
        <w:rPr>
          <w:rFonts w:ascii="楷体_GB2312" w:hAnsi="楷体_GB2312" w:eastAsia="楷体_GB2312"/>
          <w:b w:val="0"/>
          <w:sz w:val="32"/>
        </w:rPr>
        <w:t>（一）产业链完整度</w:t>
      </w:r>
    </w:p>
    <w:p>
      <w:pPr>
        <w:spacing w:lineRule="exact" w:line="600" w:after="0"/>
        <w:ind w:firstLine="420"/>
      </w:pPr>
      <w:r>
        <w:rPr>
          <w:rFonts w:ascii="仿宋_GB2312" w:hAnsi="仿宋_GB2312" w:eastAsia="仿宋_GB2312"/>
          <w:b w:val="0"/>
          <w:sz w:val="32"/>
        </w:rPr>
        <w:t>集群产业链完整度在环境控制装备领域较高。其构建了“核心部件—主机装备—系统集成—智慧服务”的链条，上游涵盖压缩机、电机、铸件、控制器等，中游为低温冷冻、中央空调、能源化工装备等主机，下游延伸至工业余热回收、城市低碳供暖与智慧能源管理的系统解决方案，链条纵向贯通。建议将其纳入集群培育重点任务，强化跟踪评估与动态调整。</w:t>
      </w:r>
    </w:p>
    <w:p>
      <w:pPr>
        <w:spacing w:lineRule="exact" w:line="600" w:after="0"/>
        <w:ind w:firstLine="420"/>
      </w:pPr>
      <w:r>
        <w:rPr>
          <w:rFonts w:ascii="仿宋_GB2312" w:hAnsi="仿宋_GB2312" w:eastAsia="仿宋_GB2312"/>
          <w:b w:val="0"/>
          <w:sz w:val="32"/>
        </w:rPr>
        <w:t>链条内部协同度高：以冰轮环境为龙头，依托山东省环境控制节能技术制造业创新中心整合研发资源，带动九十三家配套企业围绕总装环节就近协作；哈特福德数字工厂实现“产品服务全周期、订单交付全过程、工厂运营全要素”融合，体现了链条内部的高效一体化与组织效率，是集群核心竞争力来源。从产业链视角审视，该环节的价值释放仍有待进一步挖潜。</w:t>
      </w:r>
    </w:p>
    <w:p>
      <w:pPr>
        <w:spacing w:lineRule="exact" w:line="600" w:after="0"/>
        <w:ind w:firstLine="420"/>
      </w:pPr>
      <w:r>
        <w:rPr>
          <w:rFonts w:ascii="仿宋_GB2312" w:hAnsi="仿宋_GB2312" w:eastAsia="仿宋_GB2312"/>
          <w:b w:val="0"/>
          <w:sz w:val="32"/>
        </w:rPr>
        <w:t>但需看到，部分高端传感器、控制软件与关键材料仍依赖外部，上游“卡脖子”环节有待补强。整体判断，集群“装备链”完整稳固，“核心部件与工业软件”仍在补强，应在保持系统集成为优势的同时，向关键基础件与数字化内核进一步延伸闭合。把握政策与市场双重机遇，是提升该领域能级的关键所在。实践表明，只有夯实微观基础，才能筑牢集群高质量发展的根基。</w:t>
      </w:r>
    </w:p>
    <w:p>
      <w:pPr>
        <w:spacing w:before="120" w:after="120" w:lineRule="exact" w:line="600"/>
      </w:pPr>
      <w:r>
        <w:rPr>
          <w:rFonts w:ascii="楷体_GB2312" w:hAnsi="楷体_GB2312" w:eastAsia="楷体_GB2312"/>
          <w:b w:val="0"/>
          <w:sz w:val="32"/>
        </w:rPr>
        <w:t>（二）产业链短板</w:t>
      </w:r>
    </w:p>
    <w:p>
      <w:pPr>
        <w:spacing w:lineRule="exact" w:line="600" w:after="0"/>
        <w:ind w:firstLine="420"/>
      </w:pPr>
      <w:r>
        <w:rPr>
          <w:rFonts w:ascii="仿宋_GB2312" w:hAnsi="仿宋_GB2312" w:eastAsia="仿宋_GB2312"/>
          <w:b w:val="0"/>
          <w:sz w:val="32"/>
        </w:rPr>
        <w:t>一是核心基础件与工业软件短板。高端压缩机轴承、精密控制器、系统仿真软件等对外部依赖度较高，部分关键材料与芯片受供应链影响，制约了更高端市场的渗透与自主保障，是亟待补链的关键环节，原创性基础能力积累不足。上述情况表明，该领域仍有较大优化空间，需予以重视并系统施策。从发展态势看，相关环节的提质增效与结构升级任务较为紧迫。</w:t>
      </w:r>
    </w:p>
    <w:p>
      <w:pPr>
        <w:spacing w:lineRule="exact" w:line="600" w:after="0"/>
        <w:ind w:firstLine="420"/>
      </w:pPr>
      <w:r>
        <w:rPr>
          <w:rFonts w:ascii="仿宋_GB2312" w:hAnsi="仿宋_GB2312" w:eastAsia="仿宋_GB2312"/>
          <w:b w:val="0"/>
          <w:sz w:val="32"/>
        </w:rPr>
        <w:t>二是终端服务与品牌环节偏弱。集群以装备制造为主，向下游智慧能源运营、碳资产管理等服务的延伸不足，本地转化率的溢价有限。相比国际环境控制巨头，系统集成的软件黏性与品牌影响力仍有差距，价值链“微笑曲线”两端尚未充分做强，服务化转型有待深化。总体判断，短板补强与优势巩固应同步推进，不可偏废其一。需重点关注结构性矛盾，防止低水平重复建设与同质化竞争。</w:t>
      </w:r>
    </w:p>
    <w:p>
      <w:pPr>
        <w:spacing w:lineRule="exact" w:line="600" w:after="0"/>
        <w:ind w:firstLine="420"/>
      </w:pPr>
      <w:r>
        <w:rPr>
          <w:rFonts w:ascii="仿宋_GB2312" w:hAnsi="仿宋_GB2312" w:eastAsia="仿宋_GB2312"/>
          <w:b w:val="0"/>
          <w:sz w:val="32"/>
        </w:rPr>
        <w:t>三是配套企业梯队与协同深度待加强。尽管配套企业众多，但具备核心部件研发能力的中坚企业偏少，部分环节存在“龙头强、配套弱”的现象。加之绿色低碳认证与数字化改造成本压力，中小企业跟进能力不均。补短板具有长期性，需以技术攻关与项目引育系统推进。这为后续补链强链与政策精准供给提供了明确着力点。其成效将直接影响集群整体竞争力与可持续发展的内生动力。</w:t>
      </w:r>
    </w:p>
    <w:p>
      <w:pPr>
        <w:spacing w:before="120" w:after="120" w:lineRule="exact" w:line="600"/>
      </w:pPr>
      <w:r>
        <w:rPr>
          <w:rFonts w:ascii="楷体_GB2312" w:hAnsi="楷体_GB2312" w:eastAsia="楷体_GB2312"/>
          <w:b w:val="0"/>
          <w:sz w:val="32"/>
        </w:rPr>
        <w:t>（三）价值链位置</w:t>
      </w:r>
    </w:p>
    <w:p>
      <w:pPr>
        <w:spacing w:lineRule="exact" w:line="600" w:after="0"/>
        <w:ind w:firstLine="420"/>
      </w:pPr>
      <w:r>
        <w:rPr>
          <w:rFonts w:ascii="仿宋_GB2312" w:hAnsi="仿宋_GB2312" w:eastAsia="仿宋_GB2312"/>
          <w:b w:val="0"/>
          <w:sz w:val="32"/>
        </w:rPr>
        <w:t>从价值链位置看，集群已由单一制冷空调设备向“环境控制+节能减碳系统”并重转型，整体处于由中端向高端攀升阶段。冰轮环境在宽温区冷热能控制、CCUS装备、热泵等领域具备国内领先水平，部分产品入选国家节能降碳推荐目录，表明部分环节已进入价值链中高端，价值捕获能力增强。应在巩固现有优势基础上，加快向高端化、绿色化方向迈进。</w:t>
      </w:r>
    </w:p>
    <w:p>
      <w:pPr>
        <w:spacing w:lineRule="exact" w:line="600" w:after="0"/>
        <w:ind w:firstLine="420"/>
      </w:pPr>
      <w:r>
        <w:rPr>
          <w:rFonts w:ascii="仿宋_GB2312" w:hAnsi="仿宋_GB2312" w:eastAsia="仿宋_GB2312"/>
          <w:b w:val="0"/>
          <w:sz w:val="32"/>
        </w:rPr>
        <w:t>在市场话语权上，集群可覆盖零下二百七十一摄氏度到八百摄氏度宽温区，是全球环境温度控制范围最广的系统服务商之一；2023年七项产品入选国家与省推荐目录，在细分市场具备较强的技术话语权。但价值创造仍集中于硬件制造，研发设计、软件与服务的占比偏低，价值链位势仍有抬升空间。相关举措的落地见效，有赖于要素保障、平台支撑与改革协同。</w:t>
      </w:r>
    </w:p>
    <w:p>
      <w:pPr>
        <w:spacing w:lineRule="exact" w:line="600" w:after="0"/>
        <w:ind w:firstLine="420"/>
      </w:pPr>
      <w:r>
        <w:rPr>
          <w:rFonts w:ascii="仿宋_GB2312" w:hAnsi="仿宋_GB2312" w:eastAsia="仿宋_GB2312"/>
          <w:b w:val="0"/>
          <w:sz w:val="32"/>
        </w:rPr>
        <w:t>未来需以低碳装备、智慧能源服务为牵引，提升高端产品与软件服务占比，从根本上改善价值链结构。总体判断，集群价值位势呈上升态势，但向“微笑曲线”两端的跃升仍需在产品结构与服务能力上持续突破，增强全球分工中的主动权。对此应坚持问题导向，分步施策、精准发力，务求实效。长远看，集约化、循环化与数字化是必由之路，须久久为功。</w:t>
      </w:r>
    </w:p>
    <w:p>
      <w:pPr>
        <w:spacing w:before="120" w:after="120" w:lineRule="exact" w:line="600"/>
      </w:pPr>
      <w:r>
        <w:rPr>
          <w:rFonts w:ascii="楷体_GB2312" w:hAnsi="楷体_GB2312" w:eastAsia="楷体_GB2312"/>
          <w:b w:val="0"/>
          <w:sz w:val="32"/>
        </w:rPr>
        <w:t>（四）产业分工</w:t>
      </w:r>
    </w:p>
    <w:p>
      <w:pPr>
        <w:spacing w:lineRule="exact" w:line="600" w:after="0"/>
        <w:ind w:firstLine="420"/>
      </w:pPr>
      <w:r>
        <w:rPr>
          <w:rFonts w:ascii="仿宋_GB2312" w:hAnsi="仿宋_GB2312" w:eastAsia="仿宋_GB2312"/>
          <w:b w:val="0"/>
          <w:sz w:val="32"/>
        </w:rPr>
        <w:t>集群产业分工呈现“链主引领、配套协同、园区集聚”格局。冰轮环境作为链主，统筹核心装备与系统集成，承担龙头与标准输出功能；枫林环保、旭泰新能源、德立环保等中小企业在节能环保装备、新能源细分领域卡位入链，形成总装与配套有机结合的企业群落，分工层级清晰。这一态势要求企业、园区与要素市场协同发力，提升韧性与效率。</w:t>
      </w:r>
    </w:p>
    <w:p>
      <w:pPr>
        <w:spacing w:lineRule="exact" w:line="600" w:after="0"/>
        <w:ind w:firstLine="420"/>
      </w:pPr>
      <w:r>
        <w:rPr>
          <w:rFonts w:ascii="仿宋_GB2312" w:hAnsi="仿宋_GB2312" w:eastAsia="仿宋_GB2312"/>
          <w:b w:val="0"/>
          <w:sz w:val="32"/>
        </w:rPr>
        <w:t>从空间分工看，企业围绕芝罘区及节能环保产业孵化园布局，龙头与配套就近协作，形成装置级到区域级的紧凑分工。这种空间紧凑性使物流与技术协作成本显著低于分散布局，是集群区别于其他地区的重要分工效率优势，也便于创新资源在区域内流动。建议将其纳入集群培育重点任务，强化跟踪评估与动态调整。从产业链视角审视，该环节的价值释放仍有待进一步挖潜。</w:t>
      </w:r>
    </w:p>
    <w:p>
      <w:pPr>
        <w:spacing w:lineRule="exact" w:line="600" w:after="0"/>
        <w:ind w:firstLine="420"/>
      </w:pPr>
      <w:r>
        <w:rPr>
          <w:rFonts w:ascii="仿宋_GB2312" w:hAnsi="仿宋_GB2312" w:eastAsia="仿宋_GB2312"/>
          <w:b w:val="0"/>
          <w:sz w:val="32"/>
        </w:rPr>
        <w:t>从区域分工看，芝罘在烟台“环境控制装备”板块中承担核心承载功能，与烟台其他特色集群错位协同。面向未来，集群将进一步强化链主对配套的带动，吸引专精特新企业卡位入链，分工层级有望由“装备制造”向“装备+软件+服务”协同演进，增强整体竞争力。把握政策与市场双重机遇，是提升该领域能级的关键所在。实践表明，只有夯实微观基础，才能筑牢集群高质量发展的根基。</w:t>
      </w:r>
    </w:p>
    <w:p>
      <w:pPr>
        <w:spacing w:before="240" w:after="120" w:lineRule="exact" w:line="600"/>
      </w:pPr>
      <w:r>
        <w:rPr>
          <w:rFonts w:ascii="黑体" w:hAnsi="黑体" w:eastAsia="黑体"/>
          <w:b w:val="0"/>
          <w:sz w:val="32"/>
        </w:rPr>
        <w:t>三、企业主体结构</w:t>
      </w:r>
    </w:p>
    <w:p>
      <w:pPr>
        <w:spacing w:before="120" w:after="120" w:lineRule="exact" w:line="600"/>
      </w:pPr>
      <w:r>
        <w:rPr>
          <w:rFonts w:ascii="楷体_GB2312" w:hAnsi="楷体_GB2312" w:eastAsia="楷体_GB2312"/>
          <w:b w:val="0"/>
          <w:sz w:val="32"/>
        </w:rPr>
        <w:t>（一）企业规模结构</w:t>
      </w:r>
    </w:p>
    <w:p>
      <w:pPr>
        <w:spacing w:lineRule="exact" w:line="600" w:after="0"/>
        <w:ind w:firstLine="420"/>
      </w:pPr>
      <w:r>
        <w:rPr>
          <w:rFonts w:ascii="仿宋_GB2312" w:hAnsi="仿宋_GB2312" w:eastAsia="仿宋_GB2312"/>
          <w:b w:val="0"/>
          <w:sz w:val="32"/>
        </w:rPr>
        <w:t>集群企业规模结构呈“龙头强、中小广”形态。企业总数一百零四家，其中总装十一家、配套九十三家，冰轮环境构成绝对体量支柱；一批配套企业在压缩机部件、环保设备、新能源装备领域居区域前列，形成多层级企业梯队，结构相对完整，但中型“专精特新”与单项冠军厚度仍显不足。上述情况表明，该领域仍有较大优化空间，需予以重视并系统施策。</w:t>
      </w:r>
    </w:p>
    <w:p>
      <w:pPr>
        <w:spacing w:lineRule="exact" w:line="600" w:after="0"/>
        <w:ind w:firstLine="420"/>
      </w:pPr>
      <w:r>
        <w:rPr>
          <w:rFonts w:ascii="仿宋_GB2312" w:hAnsi="仿宋_GB2312" w:eastAsia="仿宋_GB2312"/>
          <w:b w:val="0"/>
          <w:sz w:val="32"/>
        </w:rPr>
        <w:t>从培育层级看，冰轮环境为国家级绿色工厂、国家级服务型制造示范企业，是集群唯一的全国性领军企业；节能环保产业孵化园汇集一百四十余家节能环保企业，枫林环保、旭泰新能源、德立环保等骨干协同跟进。但链属“小巨人”与单项冠军企业的数量厚度有待提升，部分环节存在大者恒大而中坚偏弱。从发展态势看，相关环节的提质增效与结构升级任务较为紧迫。</w:t>
      </w:r>
    </w:p>
    <w:p>
      <w:pPr>
        <w:spacing w:lineRule="exact" w:line="600" w:after="0"/>
        <w:ind w:firstLine="420"/>
      </w:pPr>
      <w:r>
        <w:rPr>
          <w:rFonts w:ascii="仿宋_GB2312" w:hAnsi="仿宋_GB2312" w:eastAsia="仿宋_GB2312"/>
          <w:b w:val="0"/>
          <w:sz w:val="32"/>
        </w:rPr>
        <w:t>总体看，集群大企业“顶天立地”、中小企业“铺天盖地”格局初成，但中间层企业数量与质量有待提升。下一步应以链主带动配套、推动中小企业卡位入链，优化企业规模的中间层级，增强集群整体抗风险能力与协同响应效率。总体判断，短板补强与优势巩固应同步推进，不可偏废其一。需重点关注结构性矛盾，防止低水平重复建设与同质化竞争。</w:t>
      </w:r>
    </w:p>
    <w:p>
      <w:pPr>
        <w:spacing w:before="120" w:after="120" w:lineRule="exact" w:line="600"/>
      </w:pPr>
      <w:r>
        <w:rPr>
          <w:rFonts w:ascii="楷体_GB2312" w:hAnsi="楷体_GB2312" w:eastAsia="楷体_GB2312"/>
          <w:b w:val="0"/>
          <w:sz w:val="32"/>
        </w:rPr>
        <w:t>（二）产权结构</w:t>
      </w:r>
    </w:p>
    <w:p>
      <w:pPr>
        <w:spacing w:lineRule="exact" w:line="600" w:after="0"/>
        <w:ind w:firstLine="420"/>
      </w:pPr>
      <w:r>
        <w:rPr>
          <w:rFonts w:ascii="仿宋_GB2312" w:hAnsi="仿宋_GB2312" w:eastAsia="仿宋_GB2312"/>
          <w:b w:val="0"/>
          <w:sz w:val="32"/>
        </w:rPr>
        <w:t>集群企业产权结构以混合所有制与民营资本为主。冰轮环境为国有控股上市公司，治理规范、资本运作能力强；枫林环保、旭泰新能源、德立环保等民营企业活跃于环保与新能源细分赛道，构成了创新与活力的重要来源，多种所有制错位发展、互为支撑，产权生态较为多元。这为后续补链强链与政策精准供给提供了明确着力点。其成效将直接影响集群整体竞争力与可持续发展的内生动力。</w:t>
      </w:r>
    </w:p>
    <w:p>
      <w:pPr>
        <w:spacing w:lineRule="exact" w:line="600" w:after="0"/>
        <w:ind w:firstLine="420"/>
      </w:pPr>
      <w:r>
        <w:rPr>
          <w:rFonts w:ascii="仿宋_GB2312" w:hAnsi="仿宋_GB2312" w:eastAsia="仿宋_GB2312"/>
          <w:b w:val="0"/>
          <w:sz w:val="32"/>
        </w:rPr>
        <w:t>从治理特征看，链主企业多为集团化股份制公司，具备跨区域布局与资本运作能力，并设有冰轮海卓氢能研究院等研发平台。中小企业以民营股份制为主，专注细分领域，产权清晰、决策灵活，是集群专业化分工的微观基础与市场灵敏度的来源，创新活力较强。应在巩固现有优势基础上，加快向高端化、绿色化方向迈进。相关举措的落地见效，有赖于要素保障、平台支撑与改革协同。</w:t>
      </w:r>
    </w:p>
    <w:p>
      <w:pPr>
        <w:spacing w:lineRule="exact" w:line="600" w:after="0"/>
        <w:ind w:firstLine="420"/>
      </w:pPr>
      <w:r>
        <w:rPr>
          <w:rFonts w:ascii="仿宋_GB2312" w:hAnsi="仿宋_GB2312" w:eastAsia="仿宋_GB2312"/>
          <w:b w:val="0"/>
          <w:sz w:val="32"/>
        </w:rPr>
        <w:t>需关注的是，节能环保装备项目回收周期较长，部分中小企业在技改与数字化升级上面临资本约束。地方通过专项资金、奖补等方式改善融资环境，近三年累计为冰轮申请各级奖补六百余万元，但中小企业获取长期资本能力仍不均衡，产权与资本结构有待进一步优化。对此应坚持问题导向，分步施策、精准发力，务求实效。长远看，集约化、循环化与数字化是必由之路，须久久为功。</w:t>
      </w:r>
    </w:p>
    <w:p>
      <w:pPr>
        <w:spacing w:before="120" w:after="120" w:lineRule="exact" w:line="600"/>
      </w:pPr>
      <w:r>
        <w:rPr>
          <w:rFonts w:ascii="楷体_GB2312" w:hAnsi="楷体_GB2312" w:eastAsia="楷体_GB2312"/>
          <w:b w:val="0"/>
          <w:sz w:val="32"/>
        </w:rPr>
        <w:t>（三）头部企业</w:t>
      </w:r>
    </w:p>
    <w:p>
      <w:pPr>
        <w:spacing w:lineRule="exact" w:line="600" w:after="0"/>
        <w:ind w:firstLine="420"/>
      </w:pPr>
      <w:r>
        <w:rPr>
          <w:rFonts w:ascii="仿宋_GB2312" w:hAnsi="仿宋_GB2312" w:eastAsia="仿宋_GB2312"/>
          <w:b w:val="0"/>
          <w:sz w:val="32"/>
        </w:rPr>
        <w:t>冰轮环境是集群核心链主，业务涵盖低温冷冻、中央空调、环保制热、能源化工装备等，可提供零下二百七十一摄氏度到八百摄氏度宽温区的冷热能控制，牵头山东省环境控制节能技术制造业创新中心，2023年营收利润双增，获批国家级绿色工厂与服务型制造示范，是集群技术与体量中枢。这一态势要求企业、园区与要素市场协同发力，提升韧性与效率。</w:t>
      </w:r>
    </w:p>
    <w:p>
      <w:pPr>
        <w:spacing w:lineRule="exact" w:line="600" w:after="0"/>
        <w:ind w:firstLine="420"/>
      </w:pPr>
      <w:r>
        <w:rPr>
          <w:rFonts w:ascii="仿宋_GB2312" w:hAnsi="仿宋_GB2312" w:eastAsia="仿宋_GB2312"/>
          <w:b w:val="0"/>
          <w:sz w:val="32"/>
        </w:rPr>
        <w:t>中集来福士在高端海工装备领域具备特色优势，是区域高端装备的重要支撑；宏远氧业专注载人压力容器研发制造，构成特种设备板块亮点。枫林环保、旭泰新能源、德立环保等在建筑垃圾资源化、新能源装备、水处理等领域协同跟进，拓展应用场景，头部与骨干共同构成集群能力骨架。建议将其纳入集群培育重点任务，强化跟踪评估与动态调整。</w:t>
      </w:r>
    </w:p>
    <w:p>
      <w:pPr>
        <w:spacing w:lineRule="exact" w:line="600" w:after="0"/>
        <w:ind w:firstLine="420"/>
      </w:pPr>
      <w:r>
        <w:rPr>
          <w:rFonts w:ascii="仿宋_GB2312" w:hAnsi="仿宋_GB2312" w:eastAsia="仿宋_GB2312"/>
          <w:b w:val="0"/>
          <w:sz w:val="32"/>
        </w:rPr>
        <w:t>总体看，头部企业既有系统集成型链主，也有细分领域骨干，但具有全球影响力的终端品牌企业仍较少。头部阵营的“品牌化”与“国际化”仍有拓展空间，需支持链主开放场景带动配套，培育更多单项冠军与专精特新“小巨人”企业。从产业链视角审视，该环节的价值释放仍有待进一步挖潜。把握政策与市场双重机遇，是提升该领域能级的关键所在。</w:t>
      </w:r>
    </w:p>
    <w:p>
      <w:pPr>
        <w:spacing w:before="120" w:after="120" w:lineRule="exact" w:line="600"/>
      </w:pPr>
      <w:r>
        <w:rPr>
          <w:rFonts w:ascii="楷体_GB2312" w:hAnsi="楷体_GB2312" w:eastAsia="楷体_GB2312"/>
          <w:b w:val="0"/>
          <w:sz w:val="32"/>
        </w:rPr>
        <w:t>（四）企业集聚特征</w:t>
      </w:r>
    </w:p>
    <w:p>
      <w:pPr>
        <w:spacing w:lineRule="exact" w:line="600" w:after="0"/>
        <w:ind w:firstLine="420"/>
      </w:pPr>
      <w:r>
        <w:rPr>
          <w:rFonts w:ascii="仿宋_GB2312" w:hAnsi="仿宋_GB2312" w:eastAsia="仿宋_GB2312"/>
          <w:b w:val="0"/>
          <w:sz w:val="32"/>
        </w:rPr>
        <w:t>集群企业集聚呈现“龙头牵引、孵化园集聚”的鲜明特征。以冰轮环境为核心，九十多家配套企业围绕总装环节就近布局，形成“物理距离近、产业关联度高”的有机集群，集聚经济效应显著；烟台节能环保产业孵化园汇集一百四十余家节能环保企业，成为中小企业创业与集聚的重要载体。实践表明，只有夯实微观基础，才能筑牢集群高质量发展的根基。</w:t>
      </w:r>
    </w:p>
    <w:p>
      <w:pPr>
        <w:spacing w:lineRule="exact" w:line="600" w:after="0"/>
        <w:ind w:firstLine="420"/>
      </w:pPr>
      <w:r>
        <w:rPr>
          <w:rFonts w:ascii="仿宋_GB2312" w:hAnsi="仿宋_GB2312" w:eastAsia="仿宋_GB2312"/>
          <w:b w:val="0"/>
          <w:sz w:val="32"/>
        </w:rPr>
        <w:t>从空间形态看，企业集中于芝罘区及孵化园区，围绕环境控制装备链条组团分布，配套服务企业就近嵌入。这种集聚降低了物流、协作与技术转移成本，也便于在绿色制造、安全生产上园区化协同管理，提升了集群整体运行效率与韧性，孵化园模式特色突出。上述情况表明，该领域仍有较大优化空间，需予以重视并系统施策。从发展态势看，相关环节的提质增效与结构升级任务较为紧迫。</w:t>
      </w:r>
    </w:p>
    <w:p>
      <w:pPr>
        <w:spacing w:lineRule="exact" w:line="600" w:after="0"/>
        <w:ind w:firstLine="420"/>
      </w:pPr>
      <w:r>
        <w:rPr>
          <w:rFonts w:ascii="仿宋_GB2312" w:hAnsi="仿宋_GB2312" w:eastAsia="仿宋_GB2312"/>
          <w:b w:val="0"/>
          <w:sz w:val="32"/>
        </w:rPr>
        <w:t>从生态特征看，集群通过链主引领、孵化园育企形成紧密产业生态。但集聚也带来创新资源向龙头集中、中小企业承接能力不均等问题。孵化园的公共服务能级仍有提升空间，需进一步增强对初创科技企业的技术与资本赋能，让集聚质量优于数量扩张。总体判断，短板补强与优势巩固应同步推进，不可偏废其一。需重点关注结构性矛盾，防止低水平重复建设与同质化竞争。</w:t>
      </w:r>
    </w:p>
    <w:p>
      <w:pPr>
        <w:spacing w:before="240" w:after="120" w:lineRule="exact" w:line="600"/>
      </w:pPr>
      <w:r>
        <w:rPr>
          <w:rFonts w:ascii="黑体" w:hAnsi="黑体" w:eastAsia="黑体"/>
          <w:b w:val="0"/>
          <w:sz w:val="32"/>
        </w:rPr>
        <w:t>四、创新能力</w:t>
      </w:r>
    </w:p>
    <w:p>
      <w:pPr>
        <w:spacing w:before="120" w:after="120" w:lineRule="exact" w:line="600"/>
      </w:pPr>
      <w:r>
        <w:rPr>
          <w:rFonts w:ascii="楷体_GB2312" w:hAnsi="楷体_GB2312" w:eastAsia="楷体_GB2312"/>
          <w:b w:val="0"/>
          <w:sz w:val="32"/>
        </w:rPr>
        <w:t>（一）研发投入</w:t>
      </w:r>
    </w:p>
    <w:p>
      <w:pPr>
        <w:spacing w:lineRule="exact" w:line="600" w:after="0"/>
        <w:ind w:firstLine="420"/>
      </w:pPr>
      <w:r>
        <w:rPr>
          <w:rFonts w:ascii="仿宋_GB2312" w:hAnsi="仿宋_GB2312" w:eastAsia="仿宋_GB2312"/>
          <w:b w:val="0"/>
          <w:sz w:val="32"/>
        </w:rPr>
        <w:t>集群研发投入以链主企业为主体。冰轮环境围绕压缩机、热泵、CCUS、氢能装备持续投入，研发强度在节能环保装备行业居前；并与中科院、西安交大等院所合作攻关，成立冰轮海卓氢能研究院。但整体研发投入仍集中于大企业，中小企业研发强度与稳定性有待提升，结构需更均衡。这为后续补链强链与政策精准供给提供了明确着力点。</w:t>
      </w:r>
    </w:p>
    <w:p>
      <w:pPr>
        <w:spacing w:lineRule="exact" w:line="600" w:after="0"/>
        <w:ind w:firstLine="420"/>
      </w:pPr>
      <w:r>
        <w:rPr>
          <w:rFonts w:ascii="仿宋_GB2312" w:hAnsi="仿宋_GB2312" w:eastAsia="仿宋_GB2312"/>
          <w:b w:val="0"/>
          <w:sz w:val="32"/>
        </w:rPr>
        <w:t>在人才投入方面，链主企业建立了较为完善的研发与技师体系，并引进高端冷热与能源人才；地方以产业集群政策强化人才引育。但相比国际一流环境控制企业，集群在原创热力学、核心软件等领域的顶尖研发人才仍属稀缺，研发人力资本基础需进一步夯实，青年拔尖人才引育待加强。其成效将直接影响集群整体竞争力与可持续发展的内生动力。</w:t>
      </w:r>
    </w:p>
    <w:p>
      <w:pPr>
        <w:spacing w:lineRule="exact" w:line="600" w:after="0"/>
        <w:ind w:firstLine="420"/>
      </w:pPr>
      <w:r>
        <w:rPr>
          <w:rFonts w:ascii="仿宋_GB2312" w:hAnsi="仿宋_GB2312" w:eastAsia="仿宋_GB2312"/>
          <w:b w:val="0"/>
          <w:sz w:val="32"/>
        </w:rPr>
        <w:t>需指出的是，中小企业研发投入受资本与规模约束，基础研究与应用基础研究相对薄弱。未来应完善研发投入激励机制，引导中小企业加大占比，并借助创新中心与研究院补齐共性技术短板，使研发投入结构更趋均衡、更可持续，形成大中小企业协同投入格局。应在巩固现有优势基础上，加快向高端化、绿色化方向迈进。相关举措的落地见效，有赖于要素保障、平台支撑与改革协同。</w:t>
      </w:r>
    </w:p>
    <w:p>
      <w:pPr>
        <w:spacing w:before="120" w:after="120" w:lineRule="exact" w:line="600"/>
      </w:pPr>
      <w:r>
        <w:rPr>
          <w:rFonts w:ascii="楷体_GB2312" w:hAnsi="楷体_GB2312" w:eastAsia="楷体_GB2312"/>
          <w:b w:val="0"/>
          <w:sz w:val="32"/>
        </w:rPr>
        <w:t>（二）创新产出</w:t>
      </w:r>
    </w:p>
    <w:p>
      <w:pPr>
        <w:spacing w:lineRule="exact" w:line="600" w:after="0"/>
        <w:ind w:firstLine="420"/>
      </w:pPr>
      <w:r>
        <w:rPr>
          <w:rFonts w:ascii="仿宋_GB2312" w:hAnsi="仿宋_GB2312" w:eastAsia="仿宋_GB2312"/>
          <w:b w:val="0"/>
          <w:sz w:val="32"/>
        </w:rPr>
        <w:t>集群创新产出以高端装备突破与节能降碳成效为标志。冰轮环境多项产品入选国家与省节能降碳技术装备推荐目录，氢气压缩与循环泵产品填补国内空白、整体性能达国际先进；哈特福德数字工厂生产效率达传统模式三倍以上、单位产品能耗降约百分之六十，创新成色较高。对此应坚持问题导向，分步施策、精准发力，务求实效。长远看，集约化、循环化与数字化是必由之路，须久久为功。</w:t>
      </w:r>
    </w:p>
    <w:p>
      <w:pPr>
        <w:spacing w:lineRule="exact" w:line="600" w:after="0"/>
        <w:ind w:firstLine="420"/>
      </w:pPr>
      <w:r>
        <w:rPr>
          <w:rFonts w:ascii="仿宋_GB2312" w:hAnsi="仿宋_GB2312" w:eastAsia="仿宋_GB2312"/>
          <w:b w:val="0"/>
          <w:sz w:val="32"/>
        </w:rPr>
        <w:t>在低碳成效上，据公开报道，冰轮环境相关节能减排技术与碳捕集利用服务实现年降碳量达数千万吨量级，为工业与市政减碳作出实质贡献。但重大原创性、颠覆性成果仍偏少，创新产出多源于装备改良与工程化集成，基础理论与核心软件原创能力有待增强，原始创新需加力。这一态势要求企业、园区与要素市场协同发力，提升韧性与效率。</w:t>
      </w:r>
    </w:p>
    <w:p>
      <w:pPr>
        <w:spacing w:lineRule="exact" w:line="600" w:after="0"/>
        <w:ind w:firstLine="420"/>
      </w:pPr>
      <w:r>
        <w:rPr>
          <w:rFonts w:ascii="仿宋_GB2312" w:hAnsi="仿宋_GB2312" w:eastAsia="仿宋_GB2312"/>
          <w:b w:val="0"/>
          <w:sz w:val="32"/>
        </w:rPr>
        <w:t>总体看，集群创新产出集中体现为“以装备智能化与系统低碳化实现进口替代与降碳增效”，在压缩机、热泵、CCUS方向成果突出。提升从“跟跑并跑”到“领跑”的原创能力，是创新产出的下阶段着力点，也是迈向世界级环境控制装备基地的关键所在。建议将其纳入集群培育重点任务，强化跟踪评估与动态调整。从产业链视角审视，该环节的价值释放仍有待进一步挖潜。</w:t>
      </w:r>
    </w:p>
    <w:p>
      <w:pPr>
        <w:spacing w:before="120" w:after="120" w:lineRule="exact" w:line="600"/>
      </w:pPr>
      <w:r>
        <w:rPr>
          <w:rFonts w:ascii="楷体_GB2312" w:hAnsi="楷体_GB2312" w:eastAsia="楷体_GB2312"/>
          <w:b w:val="0"/>
          <w:sz w:val="32"/>
        </w:rPr>
        <w:t>（三）创新平台</w:t>
      </w:r>
    </w:p>
    <w:p>
      <w:pPr>
        <w:spacing w:lineRule="exact" w:line="600" w:after="0"/>
        <w:ind w:firstLine="420"/>
      </w:pPr>
      <w:r>
        <w:rPr>
          <w:rFonts w:ascii="仿宋_GB2312" w:hAnsi="仿宋_GB2312" w:eastAsia="仿宋_GB2312"/>
          <w:b w:val="0"/>
          <w:sz w:val="32"/>
        </w:rPr>
        <w:t>集群创新平台以山东省环境控制节能技术制造业创新中心与链主研究院为主体。冰轮环境牵头组建该省级制造业创新中心，承担冷热控制与节能降碳的关键研发；哈特福德数字工厂既是智造载体也是技术验证平台，形成以企业为主体的创新平台体系，平台层级在环保装备集群中较高。把握政策与市场双重机遇，是提升该领域能级的关键所在。</w:t>
      </w:r>
    </w:p>
    <w:p>
      <w:pPr>
        <w:spacing w:lineRule="exact" w:line="600" w:after="0"/>
        <w:ind w:firstLine="420"/>
      </w:pPr>
      <w:r>
        <w:rPr>
          <w:rFonts w:ascii="仿宋_GB2312" w:hAnsi="仿宋_GB2312" w:eastAsia="仿宋_GB2312"/>
          <w:b w:val="0"/>
          <w:sz w:val="32"/>
        </w:rPr>
        <w:t>在协同创新上，集群依托创新中心与氢能研究院，组织上下游联合攻关，并借助高校院所合作提升工艺水平。但面向中小企业的开放式中试、检测与共性技术服务平台供给仍显不足，公共创新服务半径有限。需进一步搭建区域级节能环保装备共性技术平台，提升中小企业可及性。实践表明，只有夯实微观基础，才能筑牢集群高质量发展的根基。</w:t>
      </w:r>
    </w:p>
    <w:p>
      <w:pPr>
        <w:spacing w:lineRule="exact" w:line="600" w:after="0"/>
        <w:ind w:firstLine="420"/>
      </w:pPr>
      <w:r>
        <w:rPr>
          <w:rFonts w:ascii="仿宋_GB2312" w:hAnsi="仿宋_GB2312" w:eastAsia="仿宋_GB2312"/>
          <w:b w:val="0"/>
          <w:sz w:val="32"/>
        </w:rPr>
        <w:t>此外，集群可借鉴数字化工厂经验，建设装备共享中试与检测中心。总体平台以企业自有为主、公共为辅，层级较高但普惠性不足。提升平台成果的本地转化效率与中小企业共享度，是创新平台建设的重要方向，需加大公共平台投入。上述情况表明，该领域仍有较大优化空间，需予以重视并系统施策。从发展态势看，相关环节的提质增效与结构升级任务较为紧迫。</w:t>
      </w:r>
    </w:p>
    <w:p>
      <w:pPr>
        <w:spacing w:before="120" w:after="120" w:lineRule="exact" w:line="600"/>
      </w:pPr>
      <w:r>
        <w:rPr>
          <w:rFonts w:ascii="楷体_GB2312" w:hAnsi="楷体_GB2312" w:eastAsia="楷体_GB2312"/>
          <w:b w:val="0"/>
          <w:sz w:val="32"/>
        </w:rPr>
        <w:t>（四）技术转化</w:t>
      </w:r>
    </w:p>
    <w:p>
      <w:pPr>
        <w:spacing w:lineRule="exact" w:line="600" w:after="0"/>
        <w:ind w:firstLine="420"/>
      </w:pPr>
      <w:r>
        <w:rPr>
          <w:rFonts w:ascii="仿宋_GB2312" w:hAnsi="仿宋_GB2312" w:eastAsia="仿宋_GB2312"/>
          <w:b w:val="0"/>
          <w:sz w:val="32"/>
        </w:rPr>
        <w:t>集群技术转化以企业内一体化为主。链主企业凭借全产业链与数字工厂优势，可将研发成果快速放大与验证，压缩机、热泵、CCUS装备的产业化节奏明显加快，转化效率较高，体现了系统集成型企业的转化便利与协同优势，工程化能力突出。总体判断，短板补强与优势巩固应同步推进，不可偏废其一。需重点关注结构性矛盾，防止低水平重复建设与同质化竞争。</w:t>
      </w:r>
    </w:p>
    <w:p>
      <w:pPr>
        <w:spacing w:lineRule="exact" w:line="600" w:after="0"/>
        <w:ind w:firstLine="420"/>
      </w:pPr>
      <w:r>
        <w:rPr>
          <w:rFonts w:ascii="仿宋_GB2312" w:hAnsi="仿宋_GB2312" w:eastAsia="仿宋_GB2312"/>
          <w:b w:val="0"/>
          <w:sz w:val="32"/>
        </w:rPr>
        <w:t>转化方向聚焦低碳化、智能化，重点将高效压缩机、工业余热回收、碳捕集装备等成果就地落地。但中小企业受中试与资本门槛制约，承接转化能力不均，部分成果外溢至外地。需建立面向中小企业的共享中试与概念验证机制，并以政策降低转化成本，提升整体效率。这为后续补链强链与政策精准供给提供了明确着力点。其成效将直接影响集群整体竞争力与可持续发展的内生动力。</w:t>
      </w:r>
    </w:p>
    <w:p>
      <w:pPr>
        <w:spacing w:lineRule="exact" w:line="600" w:after="0"/>
        <w:ind w:firstLine="420"/>
      </w:pPr>
      <w:r>
        <w:rPr>
          <w:rFonts w:ascii="仿宋_GB2312" w:hAnsi="仿宋_GB2312" w:eastAsia="仿宋_GB2312"/>
          <w:b w:val="0"/>
          <w:sz w:val="32"/>
        </w:rPr>
        <w:t>仍存转化“最后一公里”障碍：部分高端装备因认证周期长、客户绑定紧难以及时放量。建议强化链主—中小协同、产学研对接与首台套应用，建立成果转化基金与风险补偿，使技术转化更顺畅、更普惠，增强集群创新现实生产力。应在巩固现有优势基础上，加快向高端化、绿色化方向迈进。相关举措的落地见效，有赖于要素保障、平台支撑与改革协同。</w:t>
      </w:r>
    </w:p>
    <w:p>
      <w:pPr>
        <w:spacing w:before="240" w:after="120" w:lineRule="exact" w:line="600"/>
      </w:pPr>
      <w:r>
        <w:rPr>
          <w:rFonts w:ascii="黑体" w:hAnsi="黑体" w:eastAsia="黑体"/>
          <w:b w:val="0"/>
          <w:sz w:val="32"/>
        </w:rPr>
        <w:t>五、生产要素禀赋</w:t>
      </w:r>
    </w:p>
    <w:p>
      <w:pPr>
        <w:spacing w:before="120" w:after="120" w:lineRule="exact" w:line="600"/>
      </w:pPr>
      <w:r>
        <w:rPr>
          <w:rFonts w:ascii="楷体_GB2312" w:hAnsi="楷体_GB2312" w:eastAsia="楷体_GB2312"/>
          <w:b w:val="0"/>
          <w:sz w:val="32"/>
        </w:rPr>
        <w:t>（一）劳动力</w:t>
      </w:r>
    </w:p>
    <w:p>
      <w:pPr>
        <w:spacing w:lineRule="exact" w:line="600" w:after="0"/>
        <w:ind w:firstLine="420"/>
      </w:pPr>
      <w:r>
        <w:rPr>
          <w:rFonts w:ascii="仿宋_GB2312" w:hAnsi="仿宋_GB2312" w:eastAsia="仿宋_GB2312"/>
          <w:b w:val="0"/>
          <w:sz w:val="32"/>
        </w:rPr>
        <w:t>集群劳动力以装备制造工艺、设备运维、自控调试等技能型工人为主体，依托芝罘区与冰轮长期积淀形成较稳定的产业工人队伍。大型链主企业普遍建立了系统的技能培训体系，能够支撑数字化产线运行，区域劳动力供给总体有保障，技能储备较扎实，工匠基础较好。对此应坚持问题导向，分步施策、精准发力，务求实效。长远看，集约化、循环化与数字化是必由之路，须久久为功。</w:t>
      </w:r>
    </w:p>
    <w:p>
      <w:pPr>
        <w:spacing w:lineRule="exact" w:line="600" w:after="0"/>
        <w:ind w:firstLine="420"/>
      </w:pPr>
      <w:r>
        <w:rPr>
          <w:rFonts w:ascii="仿宋_GB2312" w:hAnsi="仿宋_GB2312" w:eastAsia="仿宋_GB2312"/>
          <w:b w:val="0"/>
          <w:sz w:val="32"/>
        </w:rPr>
        <w:t>在人才结构方面，链主企业集聚了热力学、制冷、自动化等领域工程技术人才，并持续引进高端研发骨干；地方以产业集群政策强化人才引育。但国际化顶尖科学家与复合型数字人才仍属稀缺，引才竞争压力不减，人才结构性矛盾需引起重视，青年工程师培养待加强。这一态势要求企业、园区与要素市场协同发力，提升韧性与效率。建议将其纳入集群培育重点任务，强化跟踪评估与动态调整。</w:t>
      </w:r>
    </w:p>
    <w:p>
      <w:pPr>
        <w:spacing w:lineRule="exact" w:line="600" w:after="0"/>
        <w:ind w:firstLine="420"/>
      </w:pPr>
      <w:r>
        <w:rPr>
          <w:rFonts w:ascii="仿宋_GB2312" w:hAnsi="仿宋_GB2312" w:eastAsia="仿宋_GB2312"/>
          <w:b w:val="0"/>
          <w:sz w:val="32"/>
        </w:rPr>
        <w:t>需关注的是，装备智能化改造推进使传统操作工需求下降、对数据分析与自控人才需求上升。加强产教融合与订单式培养，是化解劳动力结构性矛盾的关键举措，也是支撑集群智能化与绿色化转型的重要前提，需校企协同发力。从产业链视角审视，该环节的价值释放仍有待进一步挖潜。把握政策与市场双重机遇，是提升该领域能级的关键所在。</w:t>
      </w:r>
    </w:p>
    <w:p>
      <w:pPr>
        <w:spacing w:before="120" w:after="120" w:lineRule="exact" w:line="600"/>
      </w:pPr>
      <w:r>
        <w:rPr>
          <w:rFonts w:ascii="楷体_GB2312" w:hAnsi="楷体_GB2312" w:eastAsia="楷体_GB2312"/>
          <w:b w:val="0"/>
          <w:sz w:val="32"/>
        </w:rPr>
        <w:t>（二）资本要素</w:t>
      </w:r>
    </w:p>
    <w:p>
      <w:pPr>
        <w:spacing w:lineRule="exact" w:line="600" w:after="0"/>
        <w:ind w:firstLine="420"/>
      </w:pPr>
      <w:r>
        <w:rPr>
          <w:rFonts w:ascii="仿宋_GB2312" w:hAnsi="仿宋_GB2312" w:eastAsia="仿宋_GB2312"/>
          <w:b w:val="0"/>
          <w:sz w:val="32"/>
        </w:rPr>
        <w:t>集群资本要素以企业自筹、银行信贷与资本市场为主，装备与智造项目对长期资本依赖较高。链主企业凭借上市地位与较强资信获得低成本融资，并具备跨区域资本运作能力；地方通过产业基金、奖补等方式改善中小企业资本供给，近三年为冰轮申请各级奖补六百余万元，融资渠道渐趋多元。实践表明，只有夯实微观基础，才能筑牢集群高质量发展的根基。</w:t>
      </w:r>
    </w:p>
    <w:p>
      <w:pPr>
        <w:spacing w:lineRule="exact" w:line="600" w:after="0"/>
        <w:ind w:firstLine="420"/>
      </w:pPr>
      <w:r>
        <w:rPr>
          <w:rFonts w:ascii="仿宋_GB2312" w:hAnsi="仿宋_GB2312" w:eastAsia="仿宋_GB2312"/>
          <w:b w:val="0"/>
          <w:sz w:val="32"/>
        </w:rPr>
        <w:t>重大项目投资强度较大，哈特福德数字工厂等智造项目持续投入。如此规模的资本注入显示资本对集群升级的有力支撑，也意味着对绿色低碳与智能制造市场的较高预期，投资拉动特征显著。但中小企业仍面临“融资难、融资贵”，绿色改造资本回收周期长，需进一步发展供应链金融与专项基金。上述情况表明，该领域仍有较大优化空间，需予以重视并系统施策。</w:t>
      </w:r>
    </w:p>
    <w:p>
      <w:pPr>
        <w:spacing w:lineRule="exact" w:line="600" w:after="0"/>
        <w:ind w:firstLine="420"/>
      </w:pPr>
      <w:r>
        <w:rPr>
          <w:rFonts w:ascii="仿宋_GB2312" w:hAnsi="仿宋_GB2312" w:eastAsia="仿宋_GB2312"/>
          <w:b w:val="0"/>
          <w:sz w:val="32"/>
        </w:rPr>
        <w:t>需引导社会资本参与节能环保与氢能装备项目，缓解轻资产科技型企业资本约束，使资本配置更契合创新与绿色转型需要。优化资本结构、丰富融资工具，是增强集群发展后劲与抗风险能力的重要保障，须多措并举持续推进。从发展态势看，相关环节的提质增效与结构升级任务较为紧迫。总体判断，短板补强与优势巩固应同步推进，不可偏废其一。</w:t>
      </w:r>
    </w:p>
    <w:p>
      <w:pPr>
        <w:spacing w:before="120" w:after="120" w:lineRule="exact" w:line="600"/>
      </w:pPr>
      <w:r>
        <w:rPr>
          <w:rFonts w:ascii="楷体_GB2312" w:hAnsi="楷体_GB2312" w:eastAsia="楷体_GB2312"/>
          <w:b w:val="0"/>
          <w:sz w:val="32"/>
        </w:rPr>
        <w:t>（三）土地能耗</w:t>
      </w:r>
    </w:p>
    <w:p>
      <w:pPr>
        <w:spacing w:lineRule="exact" w:line="600" w:after="0"/>
        <w:ind w:firstLine="420"/>
      </w:pPr>
      <w:r>
        <w:rPr>
          <w:rFonts w:ascii="仿宋_GB2312" w:hAnsi="仿宋_GB2312" w:eastAsia="仿宋_GB2312"/>
          <w:b w:val="0"/>
          <w:sz w:val="32"/>
        </w:rPr>
        <w:t>集群土地要素依托芝罘区建成区与节能环保产业孵化园，用地功能分区明确，但中心城区土地指标相对紧张，优质工业用地成为稀缺资源，影响集群扩容节奏与重大项目落地。需通过存量盘活与园区提效保障重点装备项目空间，提升土地利用集约度与产出效率。需重点关注结构性矛盾，防止低水平重复建设与同质化竞争。这为后续补链强链与政策精准供给提供了明确着力点。</w:t>
      </w:r>
    </w:p>
    <w:p>
      <w:pPr>
        <w:spacing w:lineRule="exact" w:line="600" w:after="0"/>
        <w:ind w:firstLine="420"/>
      </w:pPr>
      <w:r>
        <w:rPr>
          <w:rFonts w:ascii="仿宋_GB2312" w:hAnsi="仿宋_GB2312" w:eastAsia="仿宋_GB2312"/>
          <w:b w:val="0"/>
          <w:sz w:val="32"/>
        </w:rPr>
        <w:t>能耗方面，集群属绿色制造属性，冰轮环境通过数字工厂与节能工艺使单位产品能耗显著下降；但装备制造与精密铸件的能源强度仍不可忽视，在“双碳”约束下能耗指标成为硬约束。未来扩建高附加值项目须以能耗强度下降为前提，集约内涵式发展势在必行，绿色制造优势须巩固。其成效将直接影响集群整体竞争力与可持续发展的内生动力。</w:t>
      </w:r>
    </w:p>
    <w:p>
      <w:pPr>
        <w:spacing w:lineRule="exact" w:line="600" w:after="0"/>
        <w:ind w:firstLine="420"/>
      </w:pPr>
      <w:r>
        <w:rPr>
          <w:rFonts w:ascii="仿宋_GB2312" w:hAnsi="仿宋_GB2312" w:eastAsia="仿宋_GB2312"/>
          <w:b w:val="0"/>
          <w:sz w:val="32"/>
        </w:rPr>
        <w:t>需重点关注，土地与能耗“双约束”将长期影响项目布局。建议推行集约用地与“亩均效益”评价，优先保障高附加值、低能耗项目，以能耗强度下降换取发展容量，使要素约束转化为集群提质增效的倒逼动力，实现空间与容量双优化。应在巩固现有优势基础上，加快向高端化、绿色化方向迈进。相关举措的落地见效，有赖于要素保障、平台支撑与改革协同。</w:t>
      </w:r>
    </w:p>
    <w:p>
      <w:pPr>
        <w:spacing w:before="120" w:after="120" w:lineRule="exact" w:line="600"/>
      </w:pPr>
      <w:r>
        <w:rPr>
          <w:rFonts w:ascii="楷体_GB2312" w:hAnsi="楷体_GB2312" w:eastAsia="楷体_GB2312"/>
          <w:b w:val="0"/>
          <w:sz w:val="32"/>
        </w:rPr>
        <w:t>（四）原材料资源</w:t>
      </w:r>
    </w:p>
    <w:p>
      <w:pPr>
        <w:spacing w:lineRule="exact" w:line="600" w:after="0"/>
        <w:ind w:firstLine="420"/>
      </w:pPr>
      <w:r>
        <w:rPr>
          <w:rFonts w:ascii="仿宋_GB2312" w:hAnsi="仿宋_GB2312" w:eastAsia="仿宋_GB2312"/>
          <w:b w:val="0"/>
          <w:sz w:val="32"/>
        </w:rPr>
        <w:t>集群原材料以钢材、铸件、电机、控制器、制冷剂等为核心，依托本地与周边供应链保障基础件供给。冰轮等企业通过长期协作建立稳定配套，体现资源保障的本地化优势；但高端芯片、特殊合金与关键材料仍依赖外部，供应链安全需持续关注并加强多元化储备，降低单点风险。对此应坚持问题导向，分步施策、精准发力，务求实效。长远看，集约化、循环化与数字化是必由之路，须久久为功。</w:t>
      </w:r>
    </w:p>
    <w:p>
      <w:pPr>
        <w:spacing w:lineRule="exact" w:line="600" w:after="0"/>
        <w:ind w:firstLine="420"/>
      </w:pPr>
      <w:r>
        <w:rPr>
          <w:rFonts w:ascii="仿宋_GB2312" w:hAnsi="仿宋_GB2312" w:eastAsia="仿宋_GB2312"/>
          <w:b w:val="0"/>
          <w:sz w:val="32"/>
        </w:rPr>
        <w:t>在资源循环方面，节能环保属性使集群自身即为降碳赋能者，工业余热回收、碳捕集装备助力下游减排；但装备生产端的钢材与能耗仍依赖传统供给。部分企业探索再生材料与绿色采购，但高值化回收体系尚不完善，资源循环水平有待提升，需加强绿色供应链管理。这一态势要求企业、园区与要素市场协同发力，提升韧性与效率。建议将其纳入集群培育重点任务，强化跟踪评估与动态调整。</w:t>
      </w:r>
    </w:p>
    <w:p>
      <w:pPr>
        <w:spacing w:lineRule="exact" w:line="600" w:after="0"/>
        <w:ind w:firstLine="420"/>
      </w:pPr>
      <w:r>
        <w:rPr>
          <w:rFonts w:ascii="仿宋_GB2312" w:hAnsi="仿宋_GB2312" w:eastAsia="仿宋_GB2312"/>
          <w:b w:val="0"/>
          <w:sz w:val="32"/>
        </w:rPr>
        <w:t>从替代资源看，集群可扩大绿色材料、再生金属与低碳制冷工质应用。总体判断，原料基础较扎实但关键材料高度依赖外部，需通过本地配套、资源循环与供应链韧性建设增强稳定性，降低外部波动对产业链的冲击，构建更具弹性的资源保障体系。从产业链视角审视，该环节的价值释放仍有待进一步挖潜。把握政策与市场双重机遇，是提升该领域能级的关键所在。</w:t>
      </w:r>
    </w:p>
    <w:p>
      <w:pPr>
        <w:spacing w:before="240" w:after="120" w:lineRule="exact" w:line="600"/>
      </w:pPr>
      <w:r>
        <w:rPr>
          <w:rFonts w:ascii="黑体" w:hAnsi="黑体" w:eastAsia="黑体"/>
          <w:b w:val="0"/>
          <w:sz w:val="32"/>
        </w:rPr>
        <w:t>六、市场与外向度</w:t>
      </w:r>
    </w:p>
    <w:p>
      <w:pPr>
        <w:spacing w:before="120" w:after="120" w:lineRule="exact" w:line="600"/>
      </w:pPr>
      <w:r>
        <w:rPr>
          <w:rFonts w:ascii="楷体_GB2312" w:hAnsi="楷体_GB2312" w:eastAsia="楷体_GB2312"/>
          <w:b w:val="0"/>
          <w:sz w:val="32"/>
        </w:rPr>
        <w:t>（一）国内市场</w:t>
      </w:r>
    </w:p>
    <w:p>
      <w:pPr>
        <w:spacing w:lineRule="exact" w:line="600" w:after="0"/>
        <w:ind w:firstLine="420"/>
      </w:pPr>
      <w:r>
        <w:rPr>
          <w:rFonts w:ascii="仿宋_GB2312" w:hAnsi="仿宋_GB2312" w:eastAsia="仿宋_GB2312"/>
          <w:b w:val="0"/>
          <w:sz w:val="32"/>
        </w:rPr>
        <w:t>集群产品以国内大循环为主，下游覆盖工业、建筑、市政、化工等多个领域。冰轮环境的低温冷冻、中央空调、能源化工装备服务食品、化工、医药等行业，工业余热回收与城市低碳供暖对接市政与园区，国内客户基础扎实，市场根基稳固，是国内环境控制装备的重要供给基地之一。实践表明，只有夯实微观基础，才能筑牢集群高质量发展的根基。</w:t>
      </w:r>
    </w:p>
    <w:p>
      <w:pPr>
        <w:spacing w:lineRule="exact" w:line="600" w:after="0"/>
        <w:ind w:firstLine="420"/>
      </w:pPr>
      <w:r>
        <w:rPr>
          <w:rFonts w:ascii="仿宋_GB2312" w:hAnsi="仿宋_GB2312" w:eastAsia="仿宋_GB2312"/>
          <w:b w:val="0"/>
          <w:sz w:val="32"/>
        </w:rPr>
        <w:t>在市场地位上，集群可提供零下二百七十一摄氏度到八百摄氏度宽温区控制，多项产品入选国家节能降碳推荐目录，在细分市场具备较强技术话语权。随着国内“双碳”推进与节能改造需求增长，高效压缩机、热泵、CCUS装备需求持续扩张，为集群提供稳定市场空间与增长动能，内需拉动特征突出。上述情况表明，该领域仍有较大优化空间，需予以重视并系统施策。</w:t>
      </w:r>
    </w:p>
    <w:p>
      <w:pPr>
        <w:spacing w:lineRule="exact" w:line="600" w:after="0"/>
        <w:ind w:firstLine="420"/>
      </w:pPr>
      <w:r>
        <w:rPr>
          <w:rFonts w:ascii="仿宋_GB2312" w:hAnsi="仿宋_GB2312" w:eastAsia="仿宋_GB2312"/>
          <w:b w:val="0"/>
          <w:sz w:val="32"/>
        </w:rPr>
        <w:t>需关注的是，部分通用装备受产能周期与价格竞争影响波动较大，盈利对景气度敏感度高。建议强化与下游头部客户的战略绑定、发展定制化与系统服务，提升价格风险管理能力，稳固并拓展国内市场份额，平滑行业周期波动带来的冲击，增强市场韧性。从发展态势看，相关环节的提质增效与结构升级任务较为紧迫。总体判断，短板补强与优势巩固应同步推进，不可偏废其一。</w:t>
      </w:r>
    </w:p>
    <w:p>
      <w:pPr>
        <w:spacing w:before="120" w:after="120" w:lineRule="exact" w:line="600"/>
      </w:pPr>
      <w:r>
        <w:rPr>
          <w:rFonts w:ascii="楷体_GB2312" w:hAnsi="楷体_GB2312" w:eastAsia="楷体_GB2312"/>
          <w:b w:val="0"/>
          <w:sz w:val="32"/>
        </w:rPr>
        <w:t>（二）外贸出口</w:t>
      </w:r>
    </w:p>
    <w:p>
      <w:pPr>
        <w:spacing w:lineRule="exact" w:line="600" w:after="0"/>
        <w:ind w:firstLine="420"/>
      </w:pPr>
      <w:r>
        <w:rPr>
          <w:rFonts w:ascii="仿宋_GB2312" w:hAnsi="仿宋_GB2312" w:eastAsia="仿宋_GB2312"/>
          <w:b w:val="0"/>
          <w:sz w:val="32"/>
        </w:rPr>
        <w:t>集群外贸以环境控制装备与系统解决方案出口为主，依托冰轮全球营销网络参与国际分工。冰轮环境业务覆盖全球数十个国家，为百余个国家和地区提供产品全生命周期服务，压缩机、制冷空调装备凭借性价比与品质占有国际市场一定份额，出口成为链条增值的重要渠道，国际竞争力逐步增强。需重点关注结构性矛盾，防止低水平重复建设与同质化竞争。</w:t>
      </w:r>
    </w:p>
    <w:p>
      <w:pPr>
        <w:spacing w:lineRule="exact" w:line="600" w:after="0"/>
        <w:ind w:firstLine="420"/>
      </w:pPr>
      <w:r>
        <w:rPr>
          <w:rFonts w:ascii="仿宋_GB2312" w:hAnsi="仿宋_GB2312" w:eastAsia="仿宋_GB2312"/>
          <w:b w:val="0"/>
          <w:sz w:val="32"/>
        </w:rPr>
        <w:t>从外向度看，集群出口规模较国内销售偏低，仍以装备与中间品为主，软件与运营服务出海不足。链主具备一定国际客户网络，但多数中小企业外贸能力有限，参与全球价值链深度不均。港口与区位便利为扩大出口提供硬件支撑，外贸潜力仍有释放空间，国际化水平待提升。这为后续补链强链与政策精准供给提供了明确着力点。其成效将直接影响集群整体竞争力与可持续发展的内生动力。</w:t>
      </w:r>
    </w:p>
    <w:p>
      <w:pPr>
        <w:spacing w:lineRule="exact" w:line="600" w:after="0"/>
        <w:ind w:firstLine="420"/>
      </w:pPr>
      <w:r>
        <w:rPr>
          <w:rFonts w:ascii="仿宋_GB2312" w:hAnsi="仿宋_GB2312" w:eastAsia="仿宋_GB2312"/>
          <w:b w:val="0"/>
          <w:sz w:val="32"/>
        </w:rPr>
        <w:t>面向未来，应鼓励企业通过国际认证、海外服务网络与跨国合作提升出口附加值，并防范贸易壁垒与绿色合规风险。总体判断，集群外贸具备技术与产业链优势，但需由“装备出海”向“系统与服务出海”升级，稳步提高外向型经济质量与韧性。应在巩固现有优势基础上，加快向高端化、绿色化方向迈进。相关举措的落地见效，有赖于要素保障、平台支撑与改革协同。</w:t>
      </w:r>
    </w:p>
    <w:p>
      <w:pPr>
        <w:spacing w:before="120" w:after="120" w:lineRule="exact" w:line="600"/>
      </w:pPr>
      <w:r>
        <w:rPr>
          <w:rFonts w:ascii="楷体_GB2312" w:hAnsi="楷体_GB2312" w:eastAsia="楷体_GB2312"/>
          <w:b w:val="0"/>
          <w:sz w:val="32"/>
        </w:rPr>
        <w:t>（三）品牌建设</w:t>
      </w:r>
    </w:p>
    <w:p>
      <w:pPr>
        <w:spacing w:lineRule="exact" w:line="600" w:after="0"/>
        <w:ind w:firstLine="420"/>
      </w:pPr>
      <w:r>
        <w:rPr>
          <w:rFonts w:ascii="仿宋_GB2312" w:hAnsi="仿宋_GB2312" w:eastAsia="仿宋_GB2312"/>
          <w:b w:val="0"/>
          <w:sz w:val="32"/>
        </w:rPr>
        <w:t>集群品牌建设以企业品牌与区域品牌双线推进。企业层面，冰轮环境低温冷冻、中央空调、能源化工装备入选“好品山东”，并获国家级绿色工厂等称号；区域层面，芝罘“环境控制装备”省级特色产业集群名片强化对外形象与招商引力，区域品牌辨识度不断提升，品牌势能积聚。对此应坚持问题导向，分步施策、精准发力，务求实效。长远看，集约化、循环化与数字化是必由之路，须久久为功。</w:t>
      </w:r>
    </w:p>
    <w:p>
      <w:pPr>
        <w:spacing w:lineRule="exact" w:line="600" w:after="0"/>
        <w:ind w:firstLine="420"/>
      </w:pPr>
      <w:r>
        <w:rPr>
          <w:rFonts w:ascii="仿宋_GB2312" w:hAnsi="仿宋_GB2312" w:eastAsia="仿宋_GB2312"/>
          <w:b w:val="0"/>
          <w:sz w:val="32"/>
        </w:rPr>
        <w:t>集群整体以省级特色产业集群、制造业创新中心等金字招牌强化对外认知。但相比终端消费品牌，集群品牌更多体现为B端产业品牌，面向公众认知度有限，区域公共品牌在消费端溢价能力尚待培育，品牌价值转化仍有空间，需加强传播与质量认证体系建设。这一态势要求企业、园区与要素市场协同发力，提升韧性与效率。建议将其纳入集群培育重点任务，强化跟踪评估与动态调整。</w:t>
      </w:r>
    </w:p>
    <w:p>
      <w:pPr>
        <w:spacing w:lineRule="exact" w:line="600" w:after="0"/>
        <w:ind w:firstLine="420"/>
      </w:pPr>
      <w:r>
        <w:rPr>
          <w:rFonts w:ascii="仿宋_GB2312" w:hAnsi="仿宋_GB2312" w:eastAsia="仿宋_GB2312"/>
          <w:b w:val="0"/>
          <w:sz w:val="32"/>
        </w:rPr>
        <w:t>建议构建“区域品牌+链主品牌+产品品牌”协同体系，依托特色集群名片加强对外传播，支持企业争创中国驰名商标与单项冠军，以质量标准与绿色认证提升品牌含金量，使品牌成为集群参与国内外竞争的无形资产与价值支点，增强软性竞争力。从产业链视角审视，该环节的价值释放仍有待进一步挖潜。把握政策与市场双重机遇，是提升该领域能级的关键所在。</w:t>
      </w:r>
    </w:p>
    <w:p>
      <w:pPr>
        <w:spacing w:before="120" w:after="120" w:lineRule="exact" w:line="600"/>
      </w:pPr>
      <w:r>
        <w:rPr>
          <w:rFonts w:ascii="楷体_GB2312" w:hAnsi="楷体_GB2312" w:eastAsia="楷体_GB2312"/>
          <w:b w:val="0"/>
          <w:sz w:val="32"/>
        </w:rPr>
        <w:t>（四）需求端变化</w:t>
      </w:r>
    </w:p>
    <w:p>
      <w:pPr>
        <w:spacing w:lineRule="exact" w:line="600" w:after="0"/>
        <w:ind w:firstLine="420"/>
      </w:pPr>
      <w:r>
        <w:rPr>
          <w:rFonts w:ascii="仿宋_GB2312" w:hAnsi="仿宋_GB2312" w:eastAsia="仿宋_GB2312"/>
          <w:b w:val="0"/>
          <w:sz w:val="32"/>
        </w:rPr>
        <w:t>需求端呈现“低碳化、智能化、服务化”三大趋势。国内“双碳”目标带动工业余热回收、高效热泵、CCUS装备需求快速增长；智慧城市与建筑节能带动中央空调系统升级；下游对低碳、智能、可追溯产品的偏好，推动集群向绿色高性能装备转型，需求结构持续优化。实践表明，只有夯实微观基础，才能筑牢集群高质量发展的根基。上述情况表明，该领域仍有较大优化空间，需予以重视并系统施策。</w:t>
      </w:r>
    </w:p>
    <w:p>
      <w:pPr>
        <w:spacing w:lineRule="exact" w:line="600" w:after="0"/>
        <w:ind w:firstLine="420"/>
      </w:pPr>
      <w:r>
        <w:rPr>
          <w:rFonts w:ascii="仿宋_GB2312" w:hAnsi="仿宋_GB2312" w:eastAsia="仿宋_GB2312"/>
          <w:b w:val="0"/>
          <w:sz w:val="32"/>
        </w:rPr>
        <w:t>政策端节能降碳标准提升使高耗能设备需求放缓，倒逼集群提升高效产品占比。芝罘规划巩固环境温度控制装备领跑优势正是对需求结构变化的主动响应，安全环保与能效标准提升也改变了下游客户的供应商选择偏好，绿色高效供应商更受青睐，需求牵引作用增强。从发展态势看，相关环节的提质增效与结构升级任务较为紧迫。总体判断，短板补强与优势巩固应同步推进，不可偏废其一。</w:t>
      </w:r>
    </w:p>
    <w:p>
      <w:pPr>
        <w:spacing w:lineRule="exact" w:line="600" w:after="0"/>
        <w:ind w:firstLine="420"/>
      </w:pPr>
      <w:r>
        <w:rPr>
          <w:rFonts w:ascii="仿宋_GB2312" w:hAnsi="仿宋_GB2312" w:eastAsia="仿宋_GB2312"/>
          <w:b w:val="0"/>
          <w:sz w:val="32"/>
        </w:rPr>
        <w:t>需关注需求波动与替代技术风险，如新型制冷工质、跨界竞争者等。集群应建立需求监测预警机制，强化与下游头部客户联合研发与敏捷供应，以需求牵引创新，避免产能结构性过剩，在需求变局中保持产品结构的动态优化与竞争力，实现供需高效匹配。需重点关注结构性矛盾，防止低水平重复建设与同质化竞争。这为后续补链强链与政策精准供给提供了明确着力点。</w:t>
      </w:r>
    </w:p>
    <w:p>
      <w:pPr>
        <w:spacing w:before="240" w:after="120" w:lineRule="exact" w:line="600"/>
      </w:pPr>
      <w:r>
        <w:rPr>
          <w:rFonts w:ascii="黑体" w:hAnsi="黑体" w:eastAsia="黑体"/>
          <w:b w:val="0"/>
          <w:sz w:val="32"/>
        </w:rPr>
        <w:t>七、竞争格局与风险挑战</w:t>
      </w:r>
    </w:p>
    <w:p>
      <w:pPr>
        <w:spacing w:before="120" w:after="120" w:lineRule="exact" w:line="600"/>
      </w:pPr>
      <w:r>
        <w:rPr>
          <w:rFonts w:ascii="楷体_GB2312" w:hAnsi="楷体_GB2312" w:eastAsia="楷体_GB2312"/>
          <w:b w:val="0"/>
          <w:sz w:val="32"/>
        </w:rPr>
        <w:t>（一）区域竞争</w:t>
      </w:r>
    </w:p>
    <w:p>
      <w:pPr>
        <w:spacing w:lineRule="exact" w:line="600" w:after="0"/>
        <w:ind w:firstLine="420"/>
      </w:pPr>
      <w:r>
        <w:rPr>
          <w:rFonts w:ascii="仿宋_GB2312" w:hAnsi="仿宋_GB2312" w:eastAsia="仿宋_GB2312"/>
          <w:b w:val="0"/>
          <w:sz w:val="32"/>
        </w:rPr>
        <w:t>省内看，芝罘集群面临青岛、潍坊、济南等地节能环保与制冷装备集群竞争，各地在热泵、制冷空调、环保设备方向存在同质化布局倾向。青岛依托家电与制冷基础、潍坊依托动力装备，区域间对优质项目与人才的争夺趋于激烈，竞争压力加大，特色定位需更鲜明。其成效将直接影响集群整体竞争力与可持续发展的内生动力。应在巩固现有优势基础上，加快向高端化、绿色化方向迈进。</w:t>
      </w:r>
    </w:p>
    <w:p>
      <w:pPr>
        <w:spacing w:lineRule="exact" w:line="600" w:after="0"/>
        <w:ind w:firstLine="420"/>
      </w:pPr>
      <w:r>
        <w:rPr>
          <w:rFonts w:ascii="仿宋_GB2312" w:hAnsi="仿宋_GB2312" w:eastAsia="仿宋_GB2312"/>
          <w:b w:val="0"/>
          <w:sz w:val="32"/>
        </w:rPr>
        <w:t>国内看，长三角制冷空调与环保装备基地起步早、创新强，对高端客户与资本吸引力更强。芝罘在宽温区冷热能控制、CCUS装备上具优势，但在工业软件、终端品牌与研发总部上相对落后，区域竞争格局中处于“技术强、两端弱”的位置，需找准差异化定位，避免同质内耗。相关举措的落地见效，有赖于要素保障、平台支撑与改革协同。</w:t>
      </w:r>
    </w:p>
    <w:p>
      <w:pPr>
        <w:spacing w:lineRule="exact" w:line="600" w:after="0"/>
        <w:ind w:firstLine="420"/>
      </w:pPr>
      <w:r>
        <w:rPr>
          <w:rFonts w:ascii="仿宋_GB2312" w:hAnsi="仿宋_GB2312" w:eastAsia="仿宋_GB2312"/>
          <w:b w:val="0"/>
          <w:sz w:val="32"/>
        </w:rPr>
        <w:t>应对区域竞争，集群应立足“冰轮龙头+宽温区控制+碳捕集”的差异化优势，强化与省内其他片区错位协同而非同质拼抢，聚焦节能减碳高附加值装备，打造难以复制的系统解决能力与技术标签，以特色壁垒应对同业竞争压力，巩固区域领跑地位。对此应坚持问题导向，分步施策、精准发力，务求实效。长远看，集约化、循环化与数字化是必由之路，须久久为功。</w:t>
      </w:r>
    </w:p>
    <w:p>
      <w:pPr>
        <w:spacing w:before="120" w:after="120" w:lineRule="exact" w:line="600"/>
      </w:pPr>
      <w:r>
        <w:rPr>
          <w:rFonts w:ascii="楷体_GB2312" w:hAnsi="楷体_GB2312" w:eastAsia="楷体_GB2312"/>
          <w:b w:val="0"/>
          <w:sz w:val="32"/>
        </w:rPr>
        <w:t>（二）内部问题</w:t>
      </w:r>
    </w:p>
    <w:p>
      <w:pPr>
        <w:spacing w:lineRule="exact" w:line="600" w:after="0"/>
        <w:ind w:firstLine="420"/>
      </w:pPr>
      <w:r>
        <w:rPr>
          <w:rFonts w:ascii="仿宋_GB2312" w:hAnsi="仿宋_GB2312" w:eastAsia="仿宋_GB2312"/>
          <w:b w:val="0"/>
          <w:sz w:val="32"/>
        </w:rPr>
        <w:t>一是产业结构“头重脚轻”。集群以装备制造为主，软件与服务偏弱，增加值率与抗周期能力有待增强。二是中小企业梯队不够厚实，链属配套企业数量多但核心研发能力不均，部分环节存在配套断层，产业生态稳健性受一定影响，中坚企业厚度不足，协同深度待提升。这一态势要求企业、园区与要素市场协同发力，提升韧性与效率。建议将其纳入集群培育重点任务，强化跟踪评估与动态调整。</w:t>
      </w:r>
    </w:p>
    <w:p>
      <w:pPr>
        <w:spacing w:lineRule="exact" w:line="600" w:after="0"/>
        <w:ind w:firstLine="420"/>
      </w:pPr>
      <w:r>
        <w:rPr>
          <w:rFonts w:ascii="仿宋_GB2312" w:hAnsi="仿宋_GB2312" w:eastAsia="仿宋_GB2312"/>
          <w:b w:val="0"/>
          <w:sz w:val="32"/>
        </w:rPr>
        <w:t>三是创新转化效率仍受制于中试与资本瓶颈，原创性成果偏少。四是土地与能耗约束趋紧，中心城区用地紧张、绿色制造节能降碳任务重，转型空间受限。五是人才结构性矛盾，一线高技能与复合型数字人才不足，国际化研发领军人才稀缺，制约高端化与服务化步伐。从产业链视角审视，该环节的价值释放仍有待进一步挖潜。把握政策与市场双重机遇，是提升该领域能级的关键所在。</w:t>
      </w:r>
    </w:p>
    <w:p>
      <w:pPr>
        <w:spacing w:lineRule="exact" w:line="600" w:after="0"/>
        <w:ind w:firstLine="420"/>
      </w:pPr>
      <w:r>
        <w:rPr>
          <w:rFonts w:ascii="仿宋_GB2312" w:hAnsi="仿宋_GB2312" w:eastAsia="仿宋_GB2312"/>
          <w:b w:val="0"/>
          <w:sz w:val="32"/>
        </w:rPr>
        <w:t>上述问题相互交织，若不能系统破解，将制约集群由规模扩张向质量效益转型。需以补链强链、企业培育、平台增效、绿色安全为主线协同施策，推动内部问题逐项化解，筑牢高质量发展根基，避免低水平扩张与同质竞争，走特色化升级之路。实践表明，只有夯实微观基础，才能筑牢集群高质量发展的根基。上述情况表明，该领域仍有较大优化空间，需予以重视并系统施策。</w:t>
      </w:r>
    </w:p>
    <w:p>
      <w:pPr>
        <w:spacing w:before="120" w:after="120" w:lineRule="exact" w:line="600"/>
      </w:pPr>
      <w:r>
        <w:rPr>
          <w:rFonts w:ascii="楷体_GB2312" w:hAnsi="楷体_GB2312" w:eastAsia="楷体_GB2312"/>
          <w:b w:val="0"/>
          <w:sz w:val="32"/>
        </w:rPr>
        <w:t>（三）外部风险</w:t>
      </w:r>
    </w:p>
    <w:p>
      <w:pPr>
        <w:spacing w:lineRule="exact" w:line="600" w:after="0"/>
        <w:ind w:firstLine="420"/>
      </w:pPr>
      <w:r>
        <w:rPr>
          <w:rFonts w:ascii="仿宋_GB2312" w:hAnsi="仿宋_GB2312" w:eastAsia="仿宋_GB2312"/>
          <w:b w:val="0"/>
          <w:sz w:val="32"/>
        </w:rPr>
        <w:t>一是原材料与供应链波动风险。集群依赖钢材、芯片、特殊合金等外部资源，国际供应链与地缘不确定性可能影响成本与交付，关键材料安全保障面临挑战。二是贸易与绿色合规风险，欧美能效与碳足迹法规可能抬升出口成本，对环境控制装备出海形成新约束。从发展态势看，相关环节的提质增效与结构升级任务较为紧迫。总体判断，短板补强与优势巩固应同步推进，不可偏废其一。</w:t>
      </w:r>
    </w:p>
    <w:p>
      <w:pPr>
        <w:spacing w:lineRule="exact" w:line="600" w:after="0"/>
        <w:ind w:firstLine="420"/>
      </w:pPr>
      <w:r>
        <w:rPr>
          <w:rFonts w:ascii="仿宋_GB2312" w:hAnsi="仿宋_GB2312" w:eastAsia="仿宋_GB2312"/>
          <w:b w:val="0"/>
          <w:sz w:val="32"/>
        </w:rPr>
        <w:t>三是技术替代与产能周期风险。新型制冷工质、跨界数字化竞争者对传统装备形成长期替代压力；国内同类产能集中投放可能引发阶段性过剩与价格战，影响投资回报。四是安全环保政策趋严带来的合规成本上升，部分中小企业或面临退出与整合压力，行业洗牌或加速。需重点关注结构性矛盾，防止低水平重复建设与同质化竞争。这为后续补链强链与政策精准供给提供了明确着力点。</w:t>
      </w:r>
    </w:p>
    <w:p>
      <w:pPr>
        <w:spacing w:lineRule="exact" w:line="600" w:after="0"/>
        <w:ind w:firstLine="420"/>
      </w:pPr>
      <w:r>
        <w:rPr>
          <w:rFonts w:ascii="仿宋_GB2312" w:hAnsi="仿宋_GB2312" w:eastAsia="仿宋_GB2312"/>
          <w:b w:val="0"/>
          <w:sz w:val="32"/>
        </w:rPr>
        <w:t>总体看，外部风险以周期性、政策性与技术性为主，需通过供应链多元化、产品高端化、绿色低碳化与韧性建设加以对冲。建议建立风险预警与应急预案，强化关键材料储备与期货工具运用，以稳健经营穿越行业周期与外部不确定性。其成效将直接影响集群整体竞争力与可持续发展的内生动力。应在巩固现有优势基础上，加快向高端化、绿色化方向迈进。</w:t>
      </w:r>
    </w:p>
    <w:p>
      <w:pPr>
        <w:spacing w:before="240" w:after="120" w:lineRule="exact" w:line="600"/>
      </w:pPr>
      <w:r>
        <w:rPr>
          <w:rFonts w:ascii="黑体" w:hAnsi="黑体" w:eastAsia="黑体"/>
          <w:b w:val="0"/>
          <w:sz w:val="32"/>
        </w:rPr>
        <w:t>八、政策与营商环境</w:t>
      </w:r>
    </w:p>
    <w:p>
      <w:pPr>
        <w:spacing w:before="120" w:after="120" w:lineRule="exact" w:line="600"/>
      </w:pPr>
      <w:r>
        <w:rPr>
          <w:rFonts w:ascii="楷体_GB2312" w:hAnsi="楷体_GB2312" w:eastAsia="楷体_GB2312"/>
          <w:b w:val="0"/>
          <w:sz w:val="32"/>
        </w:rPr>
        <w:t>（一）顶层政策</w:t>
      </w:r>
    </w:p>
    <w:p>
      <w:pPr>
        <w:spacing w:lineRule="exact" w:line="600" w:after="0"/>
        <w:ind w:firstLine="420"/>
      </w:pPr>
      <w:r>
        <w:rPr>
          <w:rFonts w:ascii="仿宋_GB2312" w:hAnsi="仿宋_GB2312" w:eastAsia="仿宋_GB2312"/>
          <w:b w:val="0"/>
          <w:sz w:val="32"/>
        </w:rPr>
        <w:t>顶层政策层面，集群契合国家“双碳”战略、新型工业化与节能环保产业政策，享受绿色低碳与先进制造业集群相关政策支持。山东省将环境控制装备纳入重点产业链，明确芝罘在节能环保装备上的特色定位，为集群争取重大项目与产能指标提供顶层依据，政策坐标清晰，导向明确。相关举措的落地见效，有赖于要素保障、平台支撑与改革协同。</w:t>
      </w:r>
    </w:p>
    <w:p>
      <w:pPr>
        <w:spacing w:lineRule="exact" w:line="600" w:after="0"/>
        <w:ind w:firstLine="420"/>
      </w:pPr>
      <w:r>
        <w:rPr>
          <w:rFonts w:ascii="仿宋_GB2312" w:hAnsi="仿宋_GB2312" w:eastAsia="仿宋_GB2312"/>
          <w:b w:val="0"/>
          <w:sz w:val="32"/>
        </w:rPr>
        <w:t>在特色产业集群培育上，省市建立梯度培育体系，对特色产业集群实行公共服务与要素保障；烟台市将特色产业集群培育作为工业经济高质量发展引擎，深入开展典型示范推广。芝罘环境控制装备集群入选2022年省级特色产业集群，获省级统筹支持，政策红利持续释放。对此应坚持问题导向，分步施策、精准发力，务求实效。长远看，集约化、循环化与数字化是必由之路，须久久为功。</w:t>
      </w:r>
    </w:p>
    <w:p>
      <w:pPr>
        <w:spacing w:lineRule="exact" w:line="600" w:after="0"/>
        <w:ind w:firstLine="420"/>
      </w:pPr>
      <w:r>
        <w:rPr>
          <w:rFonts w:ascii="仿宋_GB2312" w:hAnsi="仿宋_GB2312" w:eastAsia="仿宋_GB2312"/>
          <w:b w:val="0"/>
          <w:sz w:val="32"/>
        </w:rPr>
        <w:t>绿色低碳政策方面，节能环保装备纳入节能降碳推荐目录与绿色制造体系，园区可对接国家绿色工厂、服务型制造等试点。顶层政策总体利好，但装备项目用地、能耗指标约束趋紧，政策落地仍需与地方空间与容量条件匹配，避免“有政策、缺容量”的错配，确保可操作可落地。这一态势要求企业、园区与要素市场协同发力，提升韧性与效率。</w:t>
      </w:r>
    </w:p>
    <w:p>
      <w:pPr>
        <w:spacing w:before="120" w:after="120" w:lineRule="exact" w:line="600"/>
      </w:pPr>
      <w:r>
        <w:rPr>
          <w:rFonts w:ascii="楷体_GB2312" w:hAnsi="楷体_GB2312" w:eastAsia="楷体_GB2312"/>
          <w:b w:val="0"/>
          <w:sz w:val="32"/>
        </w:rPr>
        <w:t>（二）地方扶持</w:t>
      </w:r>
    </w:p>
    <w:p>
      <w:pPr>
        <w:spacing w:lineRule="exact" w:line="600" w:after="0"/>
        <w:ind w:firstLine="420"/>
      </w:pPr>
      <w:r>
        <w:rPr>
          <w:rFonts w:ascii="仿宋_GB2312" w:hAnsi="仿宋_GB2312" w:eastAsia="仿宋_GB2312"/>
          <w:b w:val="0"/>
          <w:sz w:val="32"/>
        </w:rPr>
        <w:t>地方扶持以芝罘区为实施主体，围绕项目、企业、人才提供全周期服务。区工信局在“惠企先锋”党建引领下开展工业互联牵手、绿色智能技改对接、惠企政策解读等活动，助力企业数字化智能化改造；组建企业服务队伍点对点包靠，联合部门下沉办公，营商环境持续优化。建议将其纳入集群培育重点任务，强化跟踪评估与动态调整。从产业链视角审视，该环节的价值释放仍有待进一步挖潜。</w:t>
      </w:r>
    </w:p>
    <w:p>
      <w:pPr>
        <w:spacing w:lineRule="exact" w:line="600" w:after="0"/>
        <w:ind w:firstLine="420"/>
      </w:pPr>
      <w:r>
        <w:rPr>
          <w:rFonts w:ascii="仿宋_GB2312" w:hAnsi="仿宋_GB2312" w:eastAsia="仿宋_GB2312"/>
          <w:b w:val="0"/>
          <w:sz w:val="32"/>
        </w:rPr>
        <w:t>在资金扶持上，地方落实各级奖补，近三年累计为冰轮环境申请中央产业基础再造和制造业高质量发展专项资金等各级奖补六百余万元；推行惠企政策“免申即享、直达快享”，降低企业制度性成本。对链主的精准扶持取向明显，政策精准度提升，有力支撑了集群升级与企业培育。把握政策与市场双重机遇，是提升该领域能级的关键所在。</w:t>
      </w:r>
    </w:p>
    <w:p>
      <w:pPr>
        <w:spacing w:lineRule="exact" w:line="600" w:after="0"/>
        <w:ind w:firstLine="420"/>
      </w:pPr>
      <w:r>
        <w:rPr>
          <w:rFonts w:ascii="仿宋_GB2312" w:hAnsi="仿宋_GB2312" w:eastAsia="仿宋_GB2312"/>
          <w:b w:val="0"/>
          <w:sz w:val="32"/>
        </w:rPr>
        <w:t>在项目推进上，地方对重点项目强化要素集成保障。地方扶持力度较大，但中小企业获得感仍受规模与资质影响，需进一步提升政策触达的普惠性与精准度，让更多中小企业享受政策阳光，形成大中小企业融通发展的良性生态，扩大政策受益面。实践表明，只有夯实微观基础，才能筑牢集群高质量发展的根基。上述情况表明，该领域仍有较大优化空间，需予以重视并系统施策。</w:t>
      </w:r>
    </w:p>
    <w:p>
      <w:pPr>
        <w:spacing w:before="120" w:after="120" w:lineRule="exact" w:line="600"/>
      </w:pPr>
      <w:r>
        <w:rPr>
          <w:rFonts w:ascii="楷体_GB2312" w:hAnsi="楷体_GB2312" w:eastAsia="楷体_GB2312"/>
          <w:b w:val="0"/>
          <w:sz w:val="32"/>
        </w:rPr>
        <w:t>（三）公共配套</w:t>
      </w:r>
    </w:p>
    <w:p>
      <w:pPr>
        <w:spacing w:lineRule="exact" w:line="600" w:after="0"/>
        <w:ind w:firstLine="420"/>
      </w:pPr>
      <w:r>
        <w:rPr>
          <w:rFonts w:ascii="仿宋_GB2312" w:hAnsi="仿宋_GB2312" w:eastAsia="仿宋_GB2312"/>
          <w:b w:val="0"/>
          <w:sz w:val="32"/>
        </w:rPr>
        <w:t>公共配套是集群的重要支撑。芝罘具备中心城区完善的交通、能源、物流与公共服务设施，依托紧凑产业链形成就近配套，企业间物料与技术协作成本低，构成难以复制的硬配套优势，显著增强集群吸引力与运行效率，城市功能对人才与企业的黏性较强。从发展态势看，相关环节的提质增效与结构升级任务较为紧迫。总体判断，短板补强与优势巩固应同步推进，不可偏废其一。</w:t>
      </w:r>
    </w:p>
    <w:p>
      <w:pPr>
        <w:spacing w:lineRule="exact" w:line="600" w:after="0"/>
        <w:ind w:firstLine="420"/>
      </w:pPr>
      <w:r>
        <w:rPr>
          <w:rFonts w:ascii="仿宋_GB2312" w:hAnsi="仿宋_GB2312" w:eastAsia="仿宋_GB2312"/>
          <w:b w:val="0"/>
          <w:sz w:val="32"/>
        </w:rPr>
        <w:t>在创新配套上，链主技术中心、检测与中试资源为上下游提供共性服务；烟台节能环保产业孵化园提供创业与公共平台，支撑中小企业成长。但面向中小企业的开放式中试、检测与共性技术服务平台供给仍有扩容空间，需提升公共服务普惠可及程度，缩小大中小企业赋能差距。需重点关注结构性矛盾，防止低水平重复建设与同质化竞争。这为后续补链强链与政策精准供给提供了明确着力点。</w:t>
      </w:r>
    </w:p>
    <w:p>
      <w:pPr>
        <w:spacing w:lineRule="exact" w:line="600" w:after="0"/>
        <w:ind w:firstLine="420"/>
      </w:pPr>
      <w:r>
        <w:rPr>
          <w:rFonts w:ascii="仿宋_GB2312" w:hAnsi="仿宋_GB2312" w:eastAsia="仿宋_GB2312"/>
          <w:b w:val="0"/>
          <w:sz w:val="32"/>
        </w:rPr>
        <w:t>在生活配套上，芝罘城区功能完善，人才安居环境较好。但公共服务对中小企业特别是初创科技企业的开放度与成本仍可优化，检测、中试等高端服务共享机制有待完善，以让更多中小企业低成本享受集群公共配套红利，提升整体创新效率与公平性。其成效将直接影响集群整体竞争力与可持续发展的内生动力。应在巩固现有优势基础上，加快向高端化、绿色化方向迈进。</w:t>
      </w:r>
    </w:p>
    <w:p>
      <w:pPr>
        <w:spacing w:before="120" w:after="120" w:lineRule="exact" w:line="600"/>
      </w:pPr>
      <w:r>
        <w:rPr>
          <w:rFonts w:ascii="楷体_GB2312" w:hAnsi="楷体_GB2312" w:eastAsia="楷体_GB2312"/>
          <w:b w:val="0"/>
          <w:sz w:val="32"/>
        </w:rPr>
        <w:t>（四）行业协会作用</w:t>
      </w:r>
    </w:p>
    <w:p>
      <w:pPr>
        <w:spacing w:lineRule="exact" w:line="600" w:after="0"/>
        <w:ind w:firstLine="420"/>
      </w:pPr>
      <w:r>
        <w:rPr>
          <w:rFonts w:ascii="仿宋_GB2312" w:hAnsi="仿宋_GB2312" w:eastAsia="仿宋_GB2312"/>
          <w:b w:val="0"/>
          <w:sz w:val="32"/>
        </w:rPr>
        <w:t>行业协会与产业联盟在集群治理中逐步发挥作用。依托山东省环境控制节能技术制造业创新中心等载体，组织企业开展技术对接与标准协作，弥补单一企业研发与市场能力不足。龙头企业牵头的准行业组织功能显现，在供需对接与协同攻关中发挥桥梁作用，治理效率提升。相关举措的落地见效，有赖于要素保障、平台支撑与改革协同。对此应坚持问题导向，分步施策、精准发力，务求实效。</w:t>
      </w:r>
    </w:p>
    <w:p>
      <w:pPr>
        <w:spacing w:lineRule="exact" w:line="600" w:after="0"/>
        <w:ind w:firstLine="420"/>
      </w:pPr>
      <w:r>
        <w:rPr>
          <w:rFonts w:ascii="仿宋_GB2312" w:hAnsi="仿宋_GB2312" w:eastAsia="仿宋_GB2312"/>
          <w:b w:val="0"/>
          <w:sz w:val="32"/>
        </w:rPr>
        <w:t>在对外交流方面，行业组织协助企业参与展会、标准制定与政策宣讲，提升集群整体话语权；在内部自律上，可推动绿色制造、安全生产的共性规范，促进企业间经验共享。但相比成熟集群，本地专业化节能环保协会独立性与服务深度仍有限，自治能力待加强，需培育壮大会员基础。长远看，集约化、循环化与数字化是必由之路，须久久为功。</w:t>
      </w:r>
    </w:p>
    <w:p>
      <w:pPr>
        <w:spacing w:lineRule="exact" w:line="600" w:after="0"/>
        <w:ind w:firstLine="420"/>
      </w:pPr>
      <w:r>
        <w:rPr>
          <w:rFonts w:ascii="仿宋_GB2312" w:hAnsi="仿宋_GB2312" w:eastAsia="仿宋_GB2312"/>
          <w:b w:val="0"/>
          <w:sz w:val="32"/>
        </w:rPr>
        <w:t>建议培育壮大本地节能环保装备行业协会，赋予其行业统计、标准制定、培训与交流职能，形成“政府—平台—协会—企业”多元共治格局，以行业自律与协作降低治理成本，增强集群内部凝聚力与外部影响力，让协会成为连接政府与企业的纽带。这一态势要求企业、园区与要素市场协同发力，提升韧性与效率。建议将其纳入集群培育重点任务，强化跟踪评估与动态调整。</w:t>
      </w:r>
    </w:p>
    <w:p>
      <w:pPr>
        <w:spacing w:before="240" w:after="120" w:lineRule="exact" w:line="600"/>
      </w:pPr>
      <w:r>
        <w:rPr>
          <w:rFonts w:ascii="黑体" w:hAnsi="黑体" w:eastAsia="黑体"/>
          <w:b w:val="0"/>
          <w:sz w:val="32"/>
        </w:rPr>
        <w:t>九、集群发展成效与效应</w:t>
      </w:r>
    </w:p>
    <w:p>
      <w:pPr>
        <w:spacing w:before="120" w:after="120" w:lineRule="exact" w:line="600"/>
      </w:pPr>
      <w:r>
        <w:rPr>
          <w:rFonts w:ascii="楷体_GB2312" w:hAnsi="楷体_GB2312" w:eastAsia="楷体_GB2312"/>
          <w:b w:val="0"/>
          <w:sz w:val="32"/>
        </w:rPr>
        <w:t>（一）经济效应</w:t>
      </w:r>
    </w:p>
    <w:p>
      <w:pPr>
        <w:spacing w:lineRule="exact" w:line="600" w:after="0"/>
        <w:ind w:firstLine="420"/>
      </w:pPr>
      <w:r>
        <w:rPr>
          <w:rFonts w:ascii="仿宋_GB2312" w:hAnsi="仿宋_GB2312" w:eastAsia="仿宋_GB2312"/>
          <w:b w:val="0"/>
          <w:sz w:val="32"/>
        </w:rPr>
        <w:t>集群经济效应稳健。2021年集群营业收入一百一十八亿元，是芝罘区工业经济的重要支柱与烟台市特色增长极，对全区经济总量与税收贡献突出，经济拉动作用稳定。冰轮环境等龙头企业营收利润双增，显示出较强盈利韧性，体量能级在环境控制装备细分领域位居区域前列。从产业链视角审视，该环节的价值释放仍有待进一步挖潜。把握政策与市场双重机遇，是提升该领域能级的关键所在。</w:t>
      </w:r>
    </w:p>
    <w:p>
      <w:pPr>
        <w:spacing w:lineRule="exact" w:line="600" w:after="0"/>
        <w:ind w:firstLine="420"/>
      </w:pPr>
      <w:r>
        <w:rPr>
          <w:rFonts w:ascii="仿宋_GB2312" w:hAnsi="仿宋_GB2312" w:eastAsia="仿宋_GB2312"/>
          <w:b w:val="0"/>
          <w:sz w:val="32"/>
        </w:rPr>
        <w:t>结构上，集群由传统制冷空调向“环境控制+节能减碳系统”转型成效显现，高效装备与系统服务占比提高。随着绿色低碳与智能制造深入推进，预计高附加值产品占比持续提升，经济总量稳步扩张，规模与质量双重效应可期，发展后劲充足，转型红利逐步释放。实践表明，只有夯实微观基础，才能筑牢集群高质量发展的根基。上述情况表明，该领域仍有较大优化空间，需予以重视并系统施策。</w:t>
      </w:r>
    </w:p>
    <w:p>
      <w:pPr>
        <w:spacing w:lineRule="exact" w:line="600" w:after="0"/>
        <w:ind w:firstLine="420"/>
      </w:pPr>
      <w:r>
        <w:rPr>
          <w:rFonts w:ascii="仿宋_GB2312" w:hAnsi="仿宋_GB2312" w:eastAsia="仿宋_GB2312"/>
          <w:b w:val="0"/>
          <w:sz w:val="32"/>
        </w:rPr>
        <w:t>但经济效应仍受周期与结构影响，增加值率与软件服务溢价有待提高。需以高端装备与系统服务占比提升为目标，持续优化产出结构，使经济增长更多来自创新与效率而非单纯产能扩张，提升经济效应的稳定性与可持续性，实现量质齐升。从发展态势看，相关环节的提质增效与结构升级任务较为紧迫。总体判断，短板补强与优势巩固应同步推进，不可偏废其一。</w:t>
      </w:r>
    </w:p>
    <w:p>
      <w:pPr>
        <w:spacing w:before="120" w:after="120" w:lineRule="exact" w:line="600"/>
      </w:pPr>
      <w:r>
        <w:rPr>
          <w:rFonts w:ascii="楷体_GB2312" w:hAnsi="楷体_GB2312" w:eastAsia="楷体_GB2312"/>
          <w:b w:val="0"/>
          <w:sz w:val="32"/>
        </w:rPr>
        <w:t>（二）就业效应</w:t>
      </w:r>
    </w:p>
    <w:p>
      <w:pPr>
        <w:spacing w:lineRule="exact" w:line="600" w:after="0"/>
        <w:ind w:firstLine="420"/>
      </w:pPr>
      <w:r>
        <w:rPr>
          <w:rFonts w:ascii="仿宋_GB2312" w:hAnsi="仿宋_GB2312" w:eastAsia="仿宋_GB2312"/>
          <w:b w:val="0"/>
          <w:sz w:val="32"/>
        </w:rPr>
        <w:t>集群就业效应体现在直接就业与关联带动两方面。装备制造产线提供大量工艺操作、设备运维、质量检测等技能岗位，链主与配套企业共同形成稳定就业基本盘；节能环保孵化园与物流、检测等生产性服务业也吸纳较多就业，对本地居民增收作用明显，就业蓄水池功能突出。需重点关注结构性矛盾，防止低水平重复建设与同质化竞争。这为后续补链强链与政策精准供给提供了明确着力点。</w:t>
      </w:r>
    </w:p>
    <w:p>
      <w:pPr>
        <w:spacing w:lineRule="exact" w:line="600" w:after="0"/>
        <w:ind w:firstLine="420"/>
      </w:pPr>
      <w:r>
        <w:rPr>
          <w:rFonts w:ascii="仿宋_GB2312" w:hAnsi="仿宋_GB2312" w:eastAsia="仿宋_GB2312"/>
          <w:b w:val="0"/>
          <w:sz w:val="32"/>
        </w:rPr>
        <w:t>在人才就业上，集群集聚热力学、制冷、自动化等工程技术人才，并吸引数字化运维人才落户，带动人力资本提升。城区配套改善进一步增强就业吸引力，使集群成为区域引才聚才的重要平台，对缓解本地人才外流具有积极作用，人才红利逐步释放，结构持续优化。其成效将直接影响集群整体竞争力与可持续发展的内生动力。应在巩固现有优势基础上，加快向高端化、绿色化方向迈进。</w:t>
      </w:r>
    </w:p>
    <w:p>
      <w:pPr>
        <w:spacing w:lineRule="exact" w:line="600" w:after="0"/>
        <w:ind w:firstLine="420"/>
      </w:pPr>
      <w:r>
        <w:rPr>
          <w:rFonts w:ascii="仿宋_GB2312" w:hAnsi="仿宋_GB2312" w:eastAsia="仿宋_GB2312"/>
          <w:b w:val="0"/>
          <w:sz w:val="32"/>
        </w:rPr>
        <w:t>需关注的是，智能化改造在提升效率的同时可能压缩传统操作岗位，就业结构将向高技能倾斜。应加强职业再培训与产教融合，引导劳动力向运维、研发、数字化等新岗位转移，使就业效应在结构升级中保持稳定并优化，避免结构性失业，实现更高质量就业。相关举措的落地见效，有赖于要素保障、平台支撑与改革协同。对此应坚持问题导向，分步施策、精准发力，务求实效。</w:t>
      </w:r>
    </w:p>
    <w:p>
      <w:pPr>
        <w:spacing w:before="120" w:after="120" w:lineRule="exact" w:line="600"/>
      </w:pPr>
      <w:r>
        <w:rPr>
          <w:rFonts w:ascii="楷体_GB2312" w:hAnsi="楷体_GB2312" w:eastAsia="楷体_GB2312"/>
          <w:b w:val="0"/>
          <w:sz w:val="32"/>
        </w:rPr>
        <w:t>（三）溢出效应</w:t>
      </w:r>
    </w:p>
    <w:p>
      <w:pPr>
        <w:spacing w:lineRule="exact" w:line="600" w:after="0"/>
        <w:ind w:firstLine="420"/>
      </w:pPr>
      <w:r>
        <w:rPr>
          <w:rFonts w:ascii="仿宋_GB2312" w:hAnsi="仿宋_GB2312" w:eastAsia="仿宋_GB2312"/>
          <w:b w:val="0"/>
          <w:sz w:val="32"/>
        </w:rPr>
        <w:t>集群溢出效应表现为技术、配套与区域带动。链主企业的技术、检测与中试资源向上下游溢出，提升区域配套水平；孵化园企业集聚产生创业外溢，带动节能环保产业生态壮大。工业余热回收与碳捕集装备的应用，使降碳效应外溢至下游工业与市政，正外部性较为明显。长远看，集约化、循环化与数字化是必由之路，须久久为功。这一态势要求企业、园区与要素市场协同发力，提升韧性与效率。</w:t>
      </w:r>
    </w:p>
    <w:p>
      <w:pPr>
        <w:spacing w:lineRule="exact" w:line="600" w:after="0"/>
        <w:ind w:firstLine="420"/>
      </w:pPr>
      <w:r>
        <w:rPr>
          <w:rFonts w:ascii="仿宋_GB2312" w:hAnsi="仿宋_GB2312" w:eastAsia="仿宋_GB2312"/>
          <w:b w:val="0"/>
          <w:sz w:val="32"/>
        </w:rPr>
        <w:t>在产业链溢出上，集群为省内化工、食品、建筑等下游产业提供节能降碳装备，带动相关制造业发展；中心城区的区位与人才辐射强化区域经济枢纽功能。省级特色产业集群品牌的溢出也提升了芝罘在节能环保版图中的话语权与招商引力，区域带动效应增强。建议将其纳入集群培育重点任务，强化跟踪评估与动态调整。从产业链视角审视，该环节的价值释放仍有待进一步挖潜。</w:t>
      </w:r>
    </w:p>
    <w:p>
      <w:pPr>
        <w:spacing w:lineRule="exact" w:line="600" w:after="0"/>
        <w:ind w:firstLine="420"/>
      </w:pPr>
      <w:r>
        <w:rPr>
          <w:rFonts w:ascii="仿宋_GB2312" w:hAnsi="仿宋_GB2312" w:eastAsia="仿宋_GB2312"/>
          <w:b w:val="0"/>
          <w:sz w:val="32"/>
        </w:rPr>
        <w:t>但溢出效应受益面仍偏重链主与邻近企业，广大中小企业与服务业联动不足。应通过平台开放、供需对接与产城融合扩大溢出半径，使集群红利更多外溢至中小企业、县域经济与民生领域，放大正外部性，让更多主体共享发展成果，提升整体福利。把握政策与市场双重机遇，是提升该领域能级的关键所在。实践表明，只有夯实微观基础，才能筑牢集群高质量发展的根基。</w:t>
      </w:r>
    </w:p>
    <w:p>
      <w:pPr>
        <w:spacing w:before="120" w:after="120" w:lineRule="exact" w:line="600"/>
      </w:pPr>
      <w:r>
        <w:rPr>
          <w:rFonts w:ascii="楷体_GB2312" w:hAnsi="楷体_GB2312" w:eastAsia="楷体_GB2312"/>
          <w:b w:val="0"/>
          <w:sz w:val="32"/>
        </w:rPr>
        <w:t>（四）社会效应</w:t>
      </w:r>
    </w:p>
    <w:p>
      <w:pPr>
        <w:spacing w:lineRule="exact" w:line="600" w:after="0"/>
        <w:ind w:firstLine="420"/>
      </w:pPr>
      <w:r>
        <w:rPr>
          <w:rFonts w:ascii="仿宋_GB2312" w:hAnsi="仿宋_GB2312" w:eastAsia="仿宋_GB2312"/>
          <w:b w:val="0"/>
          <w:sz w:val="32"/>
        </w:rPr>
        <w:t>集群社会效应集中于绿色低碳与公共安全。冰轮环境相关节能减排与碳捕集利用技术实现年降碳量达数千万吨量级，为区域“双碳”目标作出实质贡献，改善生态环境质量，提升社会对环境控制装备的接受度，生态文明效益显著，绿色制造形象逐步树立，示范效应强。上述情况表明，该领域仍有较大优化空间，需予以重视并系统施策。从发展态势看，相关环节的提质增效与结构升级任务较为紧迫。</w:t>
      </w:r>
    </w:p>
    <w:p>
      <w:pPr>
        <w:spacing w:lineRule="exact" w:line="600" w:after="0"/>
        <w:ind w:firstLine="420"/>
      </w:pPr>
      <w:r>
        <w:rPr>
          <w:rFonts w:ascii="仿宋_GB2312" w:hAnsi="仿宋_GB2312" w:eastAsia="仿宋_GB2312"/>
          <w:b w:val="0"/>
          <w:sz w:val="32"/>
        </w:rPr>
        <w:t>在公共安全上，园区化安全管理使重大危险源与环保风险点可控，应急处置能力增强，降低安全事故潜在威胁。同时，集群带动就业与税收，支撑教育、医疗、城建等公共服务改善，增强社会福祉与居民获得感，发展成果惠及地方的效应逐步显现，社会效益同步提升。总体判断，短板补强与优势巩固应同步推进，不可偏废其一。需重点关注结构性矛盾，防止低水平重复建设与同质化竞争。</w:t>
      </w:r>
    </w:p>
    <w:p>
      <w:pPr>
        <w:spacing w:lineRule="exact" w:line="600" w:after="0"/>
        <w:ind w:firstLine="420"/>
      </w:pPr>
      <w:r>
        <w:rPr>
          <w:rFonts w:ascii="仿宋_GB2312" w:hAnsi="仿宋_GB2312" w:eastAsia="仿宋_GB2312"/>
          <w:b w:val="0"/>
          <w:sz w:val="32"/>
        </w:rPr>
        <w:t>需持续强化安全环保信息公开与社区沟通，化解“邻避”顾虑；以低碳、安全、透明运营塑造负责任企业公民形象，使集群发展获得更广泛社会认同，实现经济效益、生态效益与社会效益的统一，构建企业与社区良性互动的和谐发展格局。这为后续补链强链与政策精准供给提供了明确着力点。其成效将直接影响集群整体竞争力与可持续发展的内生动力。</w:t>
      </w:r>
    </w:p>
    <w:p>
      <w:pPr>
        <w:spacing w:before="240" w:after="120" w:lineRule="exact" w:line="600"/>
      </w:pPr>
      <w:r>
        <w:rPr>
          <w:rFonts w:ascii="黑体" w:hAnsi="黑体" w:eastAsia="黑体"/>
          <w:b w:val="0"/>
          <w:sz w:val="32"/>
        </w:rPr>
        <w:t>十、发展路径与对策建议</w:t>
      </w:r>
    </w:p>
    <w:p>
      <w:pPr>
        <w:spacing w:before="120" w:after="120" w:lineRule="exact" w:line="600"/>
      </w:pPr>
      <w:r>
        <w:rPr>
          <w:rFonts w:ascii="楷体_GB2312" w:hAnsi="楷体_GB2312" w:eastAsia="楷体_GB2312"/>
          <w:b w:val="0"/>
          <w:sz w:val="32"/>
        </w:rPr>
        <w:t>（一）现存问题总结</w:t>
      </w:r>
    </w:p>
    <w:p>
      <w:pPr>
        <w:spacing w:lineRule="exact" w:line="600" w:after="0"/>
        <w:ind w:firstLine="420"/>
      </w:pPr>
      <w:r>
        <w:rPr>
          <w:rFonts w:ascii="仿宋_GB2312" w:hAnsi="仿宋_GB2312" w:eastAsia="仿宋_GB2312"/>
          <w:b w:val="0"/>
          <w:sz w:val="32"/>
        </w:rPr>
        <w:t>综合看，集群现存问题可归纳为四类：一是产业结构失衡，软件与服务偏弱，增加值率与抗周期能力不强；二是企业梯队不完备，中小企业配套质量不均，中坚企业厚度不足；三是创新转化效率受限，原创成果少、中试与资本瓶颈突出；四是土地能耗与空间约束趋紧，发展空间受限，扩容承压。应在巩固现有优势基础上，加快向高端化、绿色化方向迈进。</w:t>
      </w:r>
    </w:p>
    <w:p>
      <w:pPr>
        <w:spacing w:lineRule="exact" w:line="600" w:after="0"/>
        <w:ind w:firstLine="420"/>
      </w:pPr>
      <w:r>
        <w:rPr>
          <w:rFonts w:ascii="仿宋_GB2312" w:hAnsi="仿宋_GB2312" w:eastAsia="仿宋_GB2312"/>
          <w:b w:val="0"/>
          <w:sz w:val="32"/>
        </w:rPr>
        <w:t>此外，区域同质化竞争加剧、国际化品牌与高端人才不足、协会治理作用有限等问题并存。这些问题既有集群自身成长阶段的共性，也有路径依赖的个性，需在发展中系统破题，不能单兵突进。问题清单清晰，是下一步补链强链与政策优化的出发点，须靶向施策、精准发力。相关举措的落地见效，有赖于要素保障、平台支撑与改革协同。对此应坚持问题导向，分步施策、精准发力，务求实效。</w:t>
      </w:r>
    </w:p>
    <w:p>
      <w:pPr>
        <w:spacing w:lineRule="exact" w:line="600" w:after="0"/>
        <w:ind w:firstLine="420"/>
      </w:pPr>
      <w:r>
        <w:rPr>
          <w:rFonts w:ascii="仿宋_GB2312" w:hAnsi="仿宋_GB2312" w:eastAsia="仿宋_GB2312"/>
          <w:b w:val="0"/>
          <w:sz w:val="32"/>
        </w:rPr>
        <w:t>需强调，集群优势同样突出：冰轮龙头、宽温区控制、碳捕集特色、孵化园生态。对策应在巩固优势基础上补短板，走“特色化、高端化、绿色化、服务化”之路，避免贪大求全、重复建设，确保问题整改与发展提质同步推进，行稳致远。长远看，集约化、循环化与数字化是必由之路，须久久为功。这一态势要求企业、园区与要素市场协同发力，提升韧性与效率。</w:t>
      </w:r>
    </w:p>
    <w:p>
      <w:pPr>
        <w:spacing w:before="120" w:after="120" w:lineRule="exact" w:line="600"/>
      </w:pPr>
      <w:r>
        <w:rPr>
          <w:rFonts w:ascii="楷体_GB2312" w:hAnsi="楷体_GB2312" w:eastAsia="楷体_GB2312"/>
          <w:b w:val="0"/>
          <w:sz w:val="32"/>
        </w:rPr>
        <w:t>（二）补链强链延链方向</w:t>
      </w:r>
    </w:p>
    <w:p>
      <w:pPr>
        <w:spacing w:lineRule="exact" w:line="600" w:after="0"/>
        <w:ind w:firstLine="420"/>
      </w:pPr>
      <w:r>
        <w:rPr>
          <w:rFonts w:ascii="仿宋_GB2312" w:hAnsi="仿宋_GB2312" w:eastAsia="仿宋_GB2312"/>
          <w:b w:val="0"/>
          <w:sz w:val="32"/>
        </w:rPr>
        <w:t>补链方面，优先填补核心基础件与工业软件短板，强化高端压缩机轴承、精密控制器、系统仿真软件本地配套，减少对外依赖。强链方面，提升高效压缩机、热泵、CCUS装备的一体化深度，做精宽温区控制与工业余热回收产品，巩固在节能减碳领域的优势环节与技术话语权。建议将其纳入集群培育重点任务，强化跟踪评估与动态调整。</w:t>
      </w:r>
    </w:p>
    <w:p>
      <w:pPr>
        <w:spacing w:lineRule="exact" w:line="600" w:after="0"/>
        <w:ind w:firstLine="420"/>
      </w:pPr>
      <w:r>
        <w:rPr>
          <w:rFonts w:ascii="仿宋_GB2312" w:hAnsi="仿宋_GB2312" w:eastAsia="仿宋_GB2312"/>
          <w:b w:val="0"/>
          <w:sz w:val="32"/>
        </w:rPr>
        <w:t>延链方面，向智慧能源服务与碳资产管理延伸，发展工业余热回收系统、城市低碳供暖运营、碳资产管理平台，提高本地转化率与品牌溢价；布局氢能装备、新型制冷工质等前沿方向，延伸价值曲线尾端，提升产业链控制力与抗风险能力，增强系统解决能力。从产业链视角审视，该环节的价值释放仍有待进一步挖潜。把握政策与市场双重机遇，是提升该领域能级的关键所在。</w:t>
      </w:r>
    </w:p>
    <w:p>
      <w:pPr>
        <w:spacing w:lineRule="exact" w:line="600" w:after="0"/>
        <w:ind w:firstLine="420"/>
      </w:pPr>
      <w:r>
        <w:rPr>
          <w:rFonts w:ascii="仿宋_GB2312" w:hAnsi="仿宋_GB2312" w:eastAsia="仿宋_GB2312"/>
          <w:b w:val="0"/>
          <w:sz w:val="32"/>
        </w:rPr>
        <w:t>同时，以绿色循环为延链底色，发展再生材料与绿色供应链。建议绘制动态招商图谱，按“缺什么补什么”精准引育，避免低效重复，形成“部件—装备—系统—服务”贯通、进出有序的现代化产业链生态，增强整体竞争力与韧性，打造特色标杆。实践表明，只有夯实微观基础，才能筑牢集群高质量发展的根基。上述情况表明，该领域仍有较大优化空间，需予以重视并系统施策。</w:t>
      </w:r>
    </w:p>
    <w:p>
      <w:pPr>
        <w:spacing w:before="120" w:after="120" w:lineRule="exact" w:line="600"/>
      </w:pPr>
      <w:r>
        <w:rPr>
          <w:rFonts w:ascii="楷体_GB2312" w:hAnsi="楷体_GB2312" w:eastAsia="楷体_GB2312"/>
          <w:b w:val="0"/>
          <w:sz w:val="32"/>
        </w:rPr>
        <w:t>（三）企业培育建议</w:t>
      </w:r>
    </w:p>
    <w:p>
      <w:pPr>
        <w:spacing w:lineRule="exact" w:line="600" w:after="0"/>
        <w:ind w:firstLine="420"/>
      </w:pPr>
      <w:r>
        <w:rPr>
          <w:rFonts w:ascii="仿宋_GB2312" w:hAnsi="仿宋_GB2312" w:eastAsia="仿宋_GB2312"/>
          <w:b w:val="0"/>
          <w:sz w:val="32"/>
        </w:rPr>
        <w:t>实施链主领航与中小企业“卡位入链”并重。支持冰轮环境等链主提升一体化与国际化能力，鼓励其开放场景、订单与中试资源带动配套；对枫林环保、旭泰新能源、德立环保等骨干企业，强化单项冠军与“小巨人”梯次培育，壮大中间层企业厚度，优化企业规模结构，提升协同深度。从发展态势看，相关环节的提质增效与结构升级任务较为紧迫。</w:t>
      </w:r>
    </w:p>
    <w:p>
      <w:pPr>
        <w:spacing w:lineRule="exact" w:line="600" w:after="0"/>
        <w:ind w:firstLine="420"/>
      </w:pPr>
      <w:r>
        <w:rPr>
          <w:rFonts w:ascii="仿宋_GB2312" w:hAnsi="仿宋_GB2312" w:eastAsia="仿宋_GB2312"/>
          <w:b w:val="0"/>
          <w:sz w:val="32"/>
        </w:rPr>
        <w:t>建立“创新型中小企业—专精特新—单项冠军”成长阶梯，落实惠企政策“免申即享”，扩大产业基金对科技型中小企业覆盖；鼓励中小企业聚焦细分“隐形冠军”，以专补短、以精取胜。对拟上市企业加强辅导，推动资本与产业深度融合，增强企业资本实力与抗风险能力，壮大中坚力量。总体判断，短板补强与优势巩固应同步推进，不可偏废其一。</w:t>
      </w:r>
    </w:p>
    <w:p>
      <w:pPr>
        <w:spacing w:lineRule="exact" w:line="600" w:after="0"/>
        <w:ind w:firstLine="420"/>
      </w:pPr>
      <w:r>
        <w:rPr>
          <w:rFonts w:ascii="仿宋_GB2312" w:hAnsi="仿宋_GB2312" w:eastAsia="仿宋_GB2312"/>
          <w:b w:val="0"/>
          <w:sz w:val="32"/>
        </w:rPr>
        <w:t>此外，推动中小企业数字化与绿色化改造，提升本质安全与能效水平；支持企业兼并重组与协作配套，形成大中小企业融通发展格局。企业培育应避免“重引进、轻服务”，以全生命周期服务稳住存量、做大增量，夯实集群微观基础，激活企业主体活力。需重点关注结构性矛盾，防止低水平重复建设与同质化竞争。这为后续补链强链与政策精准供给提供了明确着力点。</w:t>
      </w:r>
    </w:p>
    <w:p>
      <w:pPr>
        <w:spacing w:before="120" w:after="120" w:lineRule="exact" w:line="600"/>
      </w:pPr>
      <w:r>
        <w:rPr>
          <w:rFonts w:ascii="楷体_GB2312" w:hAnsi="楷体_GB2312" w:eastAsia="楷体_GB2312"/>
          <w:b w:val="0"/>
          <w:sz w:val="32"/>
        </w:rPr>
        <w:t>（四）创新提升建议</w:t>
      </w:r>
    </w:p>
    <w:p>
      <w:pPr>
        <w:spacing w:lineRule="exact" w:line="600" w:after="0"/>
        <w:ind w:firstLine="420"/>
      </w:pPr>
      <w:r>
        <w:rPr>
          <w:rFonts w:ascii="仿宋_GB2312" w:hAnsi="仿宋_GB2312" w:eastAsia="仿宋_GB2312"/>
          <w:b w:val="0"/>
          <w:sz w:val="32"/>
        </w:rPr>
        <w:t>强化“企业出题、揭榜挂帅、中试转化”机制，提升原创与工程化能力。依托制造业创新中心与链主研究院，扩容面向中小企业的共享中试与检测服务，降低成果转化门槛；支持链主深化与高校院所合作，补强共性技术短板，完善环境控制装备创新基础设施体系，增强原始创新。其成效将直接影响集群整体竞争力与可持续发展的内生动力。</w:t>
      </w:r>
    </w:p>
    <w:p>
      <w:pPr>
        <w:spacing w:lineRule="exact" w:line="600" w:after="0"/>
        <w:ind w:firstLine="420"/>
      </w:pPr>
      <w:r>
        <w:rPr>
          <w:rFonts w:ascii="仿宋_GB2312" w:hAnsi="仿宋_GB2312" w:eastAsia="仿宋_GB2312"/>
          <w:b w:val="0"/>
          <w:sz w:val="32"/>
        </w:rPr>
        <w:t>加大研发投入引导，对高效压缩机、热泵、CCUS、氢能装备等方向给予专项支持；鼓励企业与高校共建联合实验室，承担重点研发计划。完善人才链，扩大高端冷热与能源人才引进，强化产教融合培养复合型数字与装备人才，筑牢创新人力资本根基，厚植人才优势。应在巩固现有优势基础上，加快向高端化、绿色化方向迈进。相关举措的落地见效，有赖于要素保障、平台支撑与改革协同。</w:t>
      </w:r>
    </w:p>
    <w:p>
      <w:pPr>
        <w:spacing w:lineRule="exact" w:line="600" w:after="0"/>
        <w:ind w:firstLine="420"/>
      </w:pPr>
      <w:r>
        <w:rPr>
          <w:rFonts w:ascii="仿宋_GB2312" w:hAnsi="仿宋_GB2312" w:eastAsia="仿宋_GB2312"/>
          <w:b w:val="0"/>
          <w:sz w:val="32"/>
        </w:rPr>
        <w:t>推动创新产出导向由“装备改良”转向“原创领跑”，围绕进口替代与全球领先产品持续攻关，力争在更多核心装备上形成标准话语权。以创新这一“关键变量”转化为集群高质量发展的“最大增量”，构筑长期竞争优势，迈向世界级环境控制装备基地。对此应坚持问题导向，分步施策、精准发力，务求实效。长远看，集约化、循环化与数字化是必由之路，须久久为功。</w:t>
      </w:r>
    </w:p>
    <w:p>
      <w:pPr>
        <w:spacing w:before="120" w:after="120" w:lineRule="exact" w:line="600"/>
      </w:pPr>
      <w:r>
        <w:rPr>
          <w:rFonts w:ascii="楷体_GB2312" w:hAnsi="楷体_GB2312" w:eastAsia="楷体_GB2312"/>
          <w:b w:val="0"/>
          <w:sz w:val="32"/>
        </w:rPr>
        <w:t>（五）要素保障建议</w:t>
      </w:r>
    </w:p>
    <w:p>
      <w:pPr>
        <w:spacing w:lineRule="exact" w:line="600" w:after="0"/>
        <w:ind w:firstLine="420"/>
      </w:pPr>
      <w:r>
        <w:rPr>
          <w:rFonts w:ascii="仿宋_GB2312" w:hAnsi="仿宋_GB2312" w:eastAsia="仿宋_GB2312"/>
          <w:b w:val="0"/>
          <w:sz w:val="32"/>
        </w:rPr>
        <w:t>土地与能耗方面，推行集约用地与“亩均效益”评价，优先保障高附加值、低能耗项目；用好绿色制造政策，扩大节能技改与绿电应用，以能耗强度下降换取发展容量。对优质项目实行能耗、环评、用地要素集成保障，避免容量错配制约落地，提升要素配置效率与空间集约度。这一态势要求企业、园区与要素市场协同发力，提升韧性与效率。</w:t>
      </w:r>
    </w:p>
    <w:p>
      <w:pPr>
        <w:spacing w:lineRule="exact" w:line="600" w:after="0"/>
        <w:ind w:firstLine="420"/>
      </w:pPr>
      <w:r>
        <w:rPr>
          <w:rFonts w:ascii="仿宋_GB2312" w:hAnsi="仿宋_GB2312" w:eastAsia="仿宋_GB2312"/>
          <w:b w:val="0"/>
          <w:sz w:val="32"/>
        </w:rPr>
        <w:t>资本方面，发展节能环保装备专项基金、绿色信贷与供应链金融，缓解中小企业长期资本约束；探索知识产权质押与中试风险补偿，支持轻资产科技企业融资。劳动力方面，深化产教融合与订单培养，建设装备制造高技能人才与数字运维人才供给体系，化解结构性短缺，强化人力支撑。建议将其纳入集群培育重点任务，强化跟踪评估与动态调整。</w:t>
      </w:r>
    </w:p>
    <w:p>
      <w:pPr>
        <w:spacing w:lineRule="exact" w:line="600" w:after="0"/>
        <w:ind w:firstLine="420"/>
      </w:pPr>
      <w:r>
        <w:rPr>
          <w:rFonts w:ascii="仿宋_GB2312" w:hAnsi="仿宋_GB2312" w:eastAsia="仿宋_GB2312"/>
          <w:b w:val="0"/>
          <w:sz w:val="32"/>
        </w:rPr>
        <w:t>原材料方面，稳定钢材、芯片、特殊合金等外部资源供给，拓展多元采购，发展再生材料与绿色供应链降低单点依赖。以“双控”倒逼要素效率提升，使土地、能耗、资本、人才、原料等要素协同服务于高端化与绿色化转型，筑牢集群可持续发展要素底座。从产业链视角审视，该环节的价值释放仍有待进一步挖潜。把握政策与市场双重机遇，是提升该领域能级的关键所在。</w:t>
      </w:r>
    </w:p>
    <w:p>
      <w:pPr>
        <w:spacing w:before="120" w:after="120" w:lineRule="exact" w:line="600"/>
      </w:pPr>
      <w:r>
        <w:rPr>
          <w:rFonts w:ascii="楷体_GB2312" w:hAnsi="楷体_GB2312" w:eastAsia="楷体_GB2312"/>
          <w:b w:val="0"/>
          <w:sz w:val="32"/>
        </w:rPr>
        <w:t>（六）政策优化建议</w:t>
      </w:r>
    </w:p>
    <w:p>
      <w:pPr>
        <w:spacing w:lineRule="exact" w:line="600" w:after="0"/>
        <w:ind w:firstLine="420"/>
      </w:pPr>
      <w:r>
        <w:rPr>
          <w:rFonts w:ascii="仿宋_GB2312" w:hAnsi="仿宋_GB2312" w:eastAsia="仿宋_GB2312"/>
          <w:b w:val="0"/>
          <w:sz w:val="32"/>
        </w:rPr>
        <w:t>政策优化应坚持“规划统领、精准扶持、普惠可及”。完善特色集群培育与调度机制，增强对中小企业的公共服务供给；将绿色制造、智能制造成熟政策用足，争取国家产能指标与绿色金融倾斜，形成政策叠加效应，放大政策杠杆作用，激发集群内生动力与升级活力。实践表明，只有夯实微观基础，才能筑牢集群高质量发展的根基。上述情况表明，该领域仍有较大优化空间，需予以重视并系统施策。</w:t>
      </w:r>
    </w:p>
    <w:p>
      <w:pPr>
        <w:spacing w:lineRule="exact" w:line="600" w:after="0"/>
        <w:ind w:firstLine="420"/>
      </w:pPr>
      <w:r>
        <w:rPr>
          <w:rFonts w:ascii="仿宋_GB2312" w:hAnsi="仿宋_GB2312" w:eastAsia="仿宋_GB2312"/>
          <w:b w:val="0"/>
          <w:sz w:val="32"/>
        </w:rPr>
        <w:t>提升扶持政策普惠性与精准度，扩大“免申即享”范围，让中小企业切实享受奖补与人才政策支持；强化部门联合下沉办公，压缩项目审批与合规成本。培育本地行业协会，赋予统计、标准、培训职能，形成多元共治，降低治理与协调成本，营造高效透明政务环境。从发展态势看，相关环节的提质增效与结构升级任务较为紧迫。总体判断，短板补强与优势巩固应同步推进，不可偏废其一。</w:t>
      </w:r>
    </w:p>
    <w:p>
      <w:pPr>
        <w:spacing w:lineRule="exact" w:line="600" w:after="0"/>
        <w:ind w:firstLine="420"/>
      </w:pPr>
      <w:r>
        <w:rPr>
          <w:rFonts w:ascii="仿宋_GB2312" w:hAnsi="仿宋_GB2312" w:eastAsia="仿宋_GB2312"/>
          <w:b w:val="0"/>
          <w:sz w:val="32"/>
        </w:rPr>
        <w:t>建立集群动态评估与风险预警机制，定期监测结构、安全、能耗与外贸合规，及时纠偏。以“有为政府+有效市场”协同，营造稳定、透明、可预期营商环境，使政策红利真正转化为集群补链强链、创新提升与绿色转型的实际成效，迈向世界级环境控制装备高地。需重点关注结构性矛盾，防止低水平重复建设与同质化竞争。这为后续补链强链与政策精准供给提供了明确着力点。</w:t>
      </w:r>
    </w:p>
    <w:p>
      <w:pPr>
        <w:spacing w:before="240" w:after="120" w:lineRule="exact" w:line="600"/>
      </w:pPr>
      <w:r>
        <w:rPr>
          <w:rFonts w:ascii="黑体" w:hAnsi="黑体" w:eastAsia="黑体"/>
          <w:b w:val="0"/>
          <w:sz w:val="32"/>
        </w:rPr>
        <w:t>参考资料</w:t>
      </w:r>
    </w:p>
    <w:p>
      <w:pPr>
        <w:spacing w:lineRule="exact" w:line="600" w:after="0"/>
        <w:ind w:firstLine="0"/>
      </w:pPr>
      <w:r>
        <w:rPr>
          <w:rFonts w:ascii="仿宋_GB2312" w:hAnsi="仿宋_GB2312" w:eastAsia="仿宋_GB2312"/>
          <w:b w:val="0"/>
          <w:sz w:val="32"/>
        </w:rPr>
        <w:t>1. 烟台市新增2个省级特色产业集群（sdnews.com.cn，2022-05-20）https://yantai.sdnews.com.cn/ytxw/202205/t20220520_3039350.htm</w:t>
      </w:r>
    </w:p>
    <w:p>
      <w:pPr>
        <w:spacing w:lineRule="exact" w:line="600" w:after="0"/>
        <w:ind w:firstLine="0"/>
      </w:pPr>
      <w:r>
        <w:rPr>
          <w:rFonts w:ascii="仿宋_GB2312" w:hAnsi="仿宋_GB2312" w:eastAsia="仿宋_GB2312"/>
          <w:b w:val="0"/>
          <w:sz w:val="32"/>
        </w:rPr>
        <w:t>2. 我区一企业入选省级绿色工厂（zhifu.gov.cn，2022-06-27）https://www.zhifu.gov.cn/art/2022/6/27/art_15577_2925297.html</w:t>
      </w:r>
    </w:p>
    <w:p>
      <w:pPr>
        <w:spacing w:lineRule="exact" w:line="600" w:after="0"/>
        <w:ind w:firstLine="0"/>
      </w:pPr>
      <w:r>
        <w:rPr>
          <w:rFonts w:ascii="仿宋_GB2312" w:hAnsi="仿宋_GB2312" w:eastAsia="仿宋_GB2312"/>
          <w:b w:val="0"/>
          <w:sz w:val="32"/>
        </w:rPr>
        <w:t>3. “双碳”链动绿色动能（jxw.yantai.gov.cn，2022-09-15）https://jxw.yantai.gov.cn/art/2022/9/15/art_2215_2881678.html</w:t>
      </w:r>
    </w:p>
    <w:p>
      <w:pPr>
        <w:spacing w:lineRule="exact" w:line="600" w:after="0"/>
        <w:ind w:firstLine="0"/>
      </w:pPr>
      <w:r>
        <w:rPr>
          <w:rFonts w:ascii="仿宋_GB2312" w:hAnsi="仿宋_GB2312" w:eastAsia="仿宋_GB2312"/>
          <w:b w:val="0"/>
          <w:sz w:val="32"/>
        </w:rPr>
        <w:t>4. 我区节能环保产业再出新成果（zhifu.gov.cn，2017-12-08）https://www.zhifu.gov.cn/art/2017/12/8/art_15553_1989165.html</w:t>
      </w:r>
    </w:p>
    <w:p>
      <w:pPr>
        <w:spacing w:lineRule="exact" w:line="600" w:after="0"/>
        <w:ind w:firstLine="0"/>
      </w:pPr>
      <w:r>
        <w:rPr>
          <w:rFonts w:ascii="仿宋_GB2312" w:hAnsi="仿宋_GB2312" w:eastAsia="仿宋_GB2312"/>
          <w:b w:val="0"/>
          <w:sz w:val="32"/>
        </w:rPr>
        <w:t>5. 聚焦集群蓄动能，厚植产业谋新篇（ytapp.jiaodong.net，2024-03-08）https://ytapp.jiaodong.net/system/2024/03/08/200192101.shtml</w:t>
      </w:r>
    </w:p>
    <w:p>
      <w:pPr>
        <w:spacing w:lineRule="exact" w:line="600" w:after="0"/>
        <w:ind w:firstLine="0"/>
      </w:pPr>
      <w:r>
        <w:rPr>
          <w:rFonts w:ascii="仿宋_GB2312" w:hAnsi="仿宋_GB2312" w:eastAsia="仿宋_GB2312"/>
          <w:b w:val="0"/>
          <w:sz w:val="32"/>
        </w:rPr>
        <w:t>6. 突破芝罘 起势蝶变｜冰轮环境：“碳”索新路径（ytapp.jiaodong.net，2024-02-29）https://ytapp.jiaodong.net/system/2024/02/29/200176309.shtml</w:t>
      </w:r>
    </w:p>
    <w:p>
      <w:pPr>
        <w:spacing w:lineRule="exact" w:line="600" w:after="0"/>
        <w:ind w:firstLine="0"/>
      </w:pPr>
      <w:r>
        <w:rPr>
          <w:rFonts w:ascii="仿宋_GB2312" w:hAnsi="仿宋_GB2312" w:eastAsia="仿宋_GB2312"/>
          <w:b w:val="0"/>
          <w:sz w:val="32"/>
        </w:rPr>
        <w:t>7. 【好品山东】智慧冰轮，为“双碳”目标贡献冰轮智慧（163.com，2022-04-14）https://www.163.com/dy/article/H506VLR50530QJC8.html</w:t>
      </w:r>
    </w:p>
    <w:p>
      <w:pPr>
        <w:spacing w:lineRule="exact" w:line="600" w:after="0"/>
        <w:ind w:firstLine="0"/>
      </w:pPr>
      <w:r>
        <w:rPr>
          <w:rFonts w:ascii="仿宋_GB2312" w:hAnsi="仿宋_GB2312" w:eastAsia="仿宋_GB2312"/>
          <w:b w:val="0"/>
          <w:sz w:val="32"/>
        </w:rPr>
        <w:t>8. 烟台市芝罘区：国家级绿色工厂！7项产品入选推荐目录（toutiao.com，2024年）https://www.toutiao.com/article/7409985086147297828/</w:t>
      </w:r>
    </w:p>
    <w:p>
      <w:pPr>
        <w:spacing w:lineRule="exact" w:line="600" w:after="0"/>
        <w:ind w:firstLine="0"/>
      </w:pPr>
      <w:r>
        <w:rPr>
          <w:rFonts w:ascii="仿宋_GB2312" w:hAnsi="仿宋_GB2312" w:eastAsia="仿宋_GB2312"/>
          <w:b w:val="0"/>
          <w:sz w:val="32"/>
        </w:rPr>
        <w:t>注：本报告部分数据为基于公开信息的整理和合理估算，具体精确数据以政府部门和统计机构官方发布为准。</w:t>
      </w:r>
    </w:p>
    <w:sectPr w:rsidR="00FC693F" w:rsidRPr="0006063C" w:rsidSect="00034616">
      <w:footerReference w:type="default" r:id="rId9"/>
      <w:pgSz w:w="12240" w:h="15840"/>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rFonts w:ascii="宋体" w:hAnsi="宋体" w:eastAsia="宋体"/>
        <w:b w:val="0"/>
        <w:sz w:val="28"/>
      </w:rPr>
      <w:t xml:space="preserve">— </w:t>
    </w:r>
    <w:r>
      <w:rPr>
        <w:rFonts w:ascii="Times New Roman" w:hAnsi="Times New Roman" w:eastAsia="宋体"/>
        <w:sz w:val="28"/>
      </w:rPr>
      <w:fldChar w:fldCharType="begin"/>
      <w:instrText xml:space="preserve">PAGE</w:instrText>
      <w:fldChar w:fldCharType="end"/>
    </w:r>
    <w:r>
      <w:rPr>
        <w:rFonts w:ascii="宋体" w:hAnsi="宋体" w:eastAsia="宋体"/>
        <w:b w:val="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