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山东烟台龙口市(高端交通铝材)特色产业集群发展研究报告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山东烟台龙口市（高端交通铝材）特色产业集群位于烟台龙口市，依托本地铝土矿、能源与深加工基础，以汽车板、轨道交通型材、包装铝材等交通与工业铝材为主攻方向。集群于2022年入选省级特色产业集群，是烟台市重点培育的五大省级特色产业集群之一，产业辨识度高。上述情况表明，该领域仍有较大优化空间，需予以重视并系统施策。</w:t>
      </w:r>
    </w:p>
    <w:p>
      <w:pPr>
        <w:spacing w:lineRule="exact" w:line="600" w:after="0"/>
        <w:ind w:firstLine="420"/>
      </w:pPr>
      <w:r>
        <w:rPr>
          <w:rFonts w:ascii="仿宋_GB2312" w:hAnsi="仿宋_GB2312" w:eastAsia="仿宋_GB2312"/>
          <w:b w:val="0"/>
          <w:sz w:val="32"/>
        </w:rPr>
        <w:t>从属性定位看，集群属典型的有色金属精深加工型产业集群，以“能源—铝土矿—氧化铝—电解铝—精深加工—终端产品”完整链条为核心，是全球唯一同地区拥有最短距离、最完整铝产业链的基地，上下游空间紧凑、协同效率突出，具备显著的集群根植性与成本优势。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从功能定位看，集群紧扣“规模扩张、内涵提升、环境友好”三大战略，以建链、延链、强链为主抓手，面向汽车轻量化、轨道交通、绿色包装等高成长市场，是山东省高端铝材料产业的重要策源地，在环渤海有色金属加工格局中占据重要枢纽地位。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集群规模体量居全国县级铝加工集群前列。据烟台市工信局与公开报道，集群企业总数一百三十八家，其中规模以上企业一百零六家，2021年实现营业收入六百三十四亿元、产值七百二十一亿余元，呈现大企业引领、中小企业协同的稳健扩张态势，体量能级突出。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从空间规模看，产业集群面积约九十平方公里，形成以南山铝业等骨干企业为核心的产业承载区。南山铝业作为链主，2021年营业收入二百八十七亿余元，归母净利润三十四亿余元，同比分别增长约百分之二十九与百分之六十六，是集群体量与盈利的主要支撑，引领效应明显。相关举措的落地见效，有赖于要素保障、平台支撑与改革协同。</w:t>
      </w:r>
    </w:p>
    <w:p>
      <w:pPr>
        <w:spacing w:lineRule="exact" w:line="600" w:after="0"/>
        <w:ind w:firstLine="420"/>
      </w:pPr>
      <w:r>
        <w:rPr>
          <w:rFonts w:ascii="仿宋_GB2312" w:hAnsi="仿宋_GB2312" w:eastAsia="仿宋_GB2312"/>
          <w:b w:val="0"/>
          <w:sz w:val="32"/>
        </w:rPr>
        <w:t>面向“十四五”，龙口市提出力争到2025年培育千亿级高端铝材料产业链条。当前集群在汽车板、易拉罐材料等领域已形成较大产能与市占优势，但产值仍集中于材料环节，终端制品与品牌溢价尚有提升空间。总体看，集群体量基础雄厚、增长目标清晰明确。对此应坚持问题导向，分步施策、精准发力，务求实效。长远看，集约化、循环化与数字化是必由之路，须久久为功。</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高端交通铝型材、铝材精深加工与交通铝材应用三大板块。高端交通铝型材以汽车板、轨道交通车体型材为代表，其中汽车板及轨道交通车体型材国内市场占有率约百分之六十，是国内汽车轻量化材料的重要供给基地，下游对接新能源整车与轨交装备。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铝材精深加工板块包括铝箔、易拉罐材料、工业型材等，易拉罐材料国内市占率约百分之五十、铝箔约百分之三十，产品广泛应用于食品饮料包装、电子与工业领域。交通铝材应用则向动力电池箔、汽车结构件、轨道交通装备部件延伸，推动材料向终端与系统集成攀升。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此外，废铝回收与再生利用嵌入链条末端，形成“生产—使用—回收”闭环，支撑绿色低碳循环。丛林福禄好富汽车、奥瑞金包装等企业延伸至交通与包装终端，使集群由单一材料向“材料+部件+成品”演进，主导产业结构趋于完整且市场适配性强。实践表明，只有夯实微观基础，才能筑牢集群高质量发展的根基。上述情况表明，该领域仍有较大优化空间，需予以重视并系统施策。</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完整度在全国同类集群中处于领先水平。其构建了“热电—氧化铝—电解铝—熔铸—铝型材/热轧—冷轧—箔轧/锻压—废铝回收”的极短距离完整链条，上游能源与原料、中游加工、下游终端与回收在同一区域就近布局，是国内少有的全链条闭环铝产业基地。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链条纵向贯通度高：从铝土矿到氧化铝、电解铝，再到热轧、冷轧、箔轧与锻压，各环节装置齐备且空间紧凑，物料转运半径短、能耗与物流成本低。南山铝业在四十五平方公里范围内形成铝加工全产业链，体现了链条内部的高度一体化与组织效率，是集群核心竞争力来源。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但需看到，尽管主链完整，部分高端合金、关键装备与终端品牌环节仍依赖外部或处于培育期。整体判断，集群“材料链”完整稳固，“价值链终端”仍在补强，应在保持链条紧凑优势的同时，向高附加值终端与核心装备环节进一步延伸闭合。其成效将直接影响集群整体竞争力与可持续发展的内生动力。应在巩固现有优势基础上，加快向高端化、绿色化方向迈进。</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一是高端合金与核心工艺仍有短板。汽车板、航空铝等高端产品对合金配方、轧制工艺与表面处理要求高，部分关键技术与高端牌号仍依赖引进或处于追赶阶段，原创性工艺积累不足，制约了更高端市场的渗透与国产替代深度，是亟待补链的关键环节。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二是终端制品与品牌环节偏弱。集群体量大但较多以铝板带箔等中间材料外销，向下游总成、结构件、品牌消费品的延伸不足，本地转化率的溢价有限。相比国际铝加工巨头，终端品牌影响力与系统集成能力仍有差距，价值链“微笑曲线”两端尚未充分做强。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三是装备与再生技术配套待加强。部分高端轧制、检测与智能化装备仍外购，废铝高值化回收体系尚不完善。加之铝加工能耗与碳排放约束趋紧，绿色低碳工艺与装备的自主保障能力需提升。补短板具有长期性，需以技术攻关与项目引育系统推进。建议将其纳入集群培育重点任务，强化跟踪评估与动态调整。从产业链视角审视，该环节的价值释放仍有待进一步挖潜。</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从价值链位置看，集群已由传统铝加工向高端交通铝材并重转型，整体处于由中端向高端攀升阶段。汽车板、轨交型材等高端产品占比持续提高，南山铝业汽车板销量达十一万吨、行业龙头地位巩固，表明部分环节已进入价值链中高端，价值捕获能力增强。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在市场话语权上，汽车板及轨交车体型材市占率约百分之六十、易拉罐材料约百分之五十、铝箔约百分之三十，在细分市场具备较强的规模与渠道优势。但价值创造仍集中于材料制造环节，研发设计、终端品牌与服务的占比偏低，价值链位势仍有抬升空间。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未来需以汽车轻量化、新能源电池箔、航空铝等高附加值方向为牵引，提升高端产品占比与品牌溢价，从根本上改善价值链结构。总体判断，集群价值位势呈上升态势，但向“微笑曲线”两端的跃升仍需在产品结构与创新能力上持续突破。总体判断，短板补强与优势巩固应同步推进，不可偏废其一。需重点关注结构性矛盾，防止低水平重复建设与同质化竞争。</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集群产业分工呈现“链主引领、骨干配套、园区协同”格局。南山铝业作为链主，统筹氧化铝至精深加工的全链条，承担龙头与标准输出功能；丛林铝业、三元铝材、博瑞特、奥瑞金、丛林福禄好富汽车、南山铝压延新材料、新活新材料等三十余家骨干企业围绕细分环节卡位入链。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从空间分工看，企业围绕约九十平方公里集群区紧凑布局，能源、熔铸、轧制、箔轧、终端等环节就近协同，形成装置级到园区级的紧凑分工。这种空间紧凑性使物流与协作成本显著低于分散布局，是集群区别于其他地区的重要分工效率优势。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从区域分工看，龙口在烟台“高端铝材”板块中承担核心承载功能，与烟台其他特色集群错位协同。面向未来，集群将进一步强化链主对配套的带动，吸引专精特新企业卡位入链，分工层级有望由“材料制造”向“材料+部件+服务”协同演进，增强整体竞争力。对此应坚持问题导向，分步施策、精准发力，务求实效。长远看，集约化、循环化与数字化是必由之路，须久久为功。</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企业规模结构呈“龙头强、骨干多、配套广”形态。企业总数一百三十八家，规模以上一百零六家，其中南山铝业年营收近二百八十七亿元，构成绝对体量支柱；三十余家骨干企业覆盖轧制、箔材、容器、汽车部件等环节，形成多层级企业梯队，结构相对完整。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从培育层级看，南山铝业跻身《财富》中国500强（2022年位列414位），是集群唯一的全国500强企业；一批骨干企业在汽车板、包装铝材、工业型材领域居区域前列。但中型“专精特新”与单项冠军企业的厚度仍显不足，部分环节存在大者恒大而中坚偏弱的现象。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总体看，集群大企业“顶天立地”、中小企业“铺天盖地”格局初成，但中间层企业数量与质量有待提升。下一步应以链主带动配套、推动中小企业卡位入链，优化企业规模的中间层级，增强集群整体抗风险能力与协同响应效率。实践表明，只有夯实微观基础，才能筑牢集群高质量发展的根基。上述情况表明，该领域仍有较大优化空间，需予以重视并系统施策。</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集群企业产权结构以民营资本为主、混合所有制并存。南山铝业为民营控股的上市公司，治理规范、资本运作能力强；丛林铝业、三元铝材、奥瑞金包装等民营企业活跃于加工与终端环节，构成了创新与活力的重要来源，多种所有制错位发展、互为支撑。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从治理特征看，链主企业多为集团化股份制公司，具备跨区域布局与资本运作能力，如南山铝业在海外布局氧化铝资源以保障原料。中小企业以民营股份制为主，专注细分领域，产权清晰、决策灵活，是集群专业化分工的微观基础与市场灵敏度的来源。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需关注的是，铝加工重资产属性使部分中小企业在技改与绿色升级上面临资本约束。地方通过产业基金、奖补等方式改善融资环境，但中小企业获取长期资本能力仍不均衡。产权与资本结构有待进一步优化，以增强发展后劲与抗周期能力。其成效将直接影响集群整体竞争力与可持续发展的内生动力。应在巩固现有优势基础上，加快向高端化、绿色化方向迈进。</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南山铝业是集群核心链主，2021年营业收入二百八十七亿余元，归母净利润三十四亿余元，汽车板销量十一万吨、行业龙头地位巩固，入选《财富》中国500强。其构建了从能源、氧化铝到铝压延、锻造及精深加工的全产业链，装备水平与加工能力居国内前列，是集群技术与体量中枢。相关举措的落地见效，有赖于要素保障、平台支撑与改革协同。</w:t>
      </w:r>
    </w:p>
    <w:p>
      <w:pPr>
        <w:spacing w:lineRule="exact" w:line="600" w:after="0"/>
        <w:ind w:firstLine="420"/>
      </w:pPr>
      <w:r>
        <w:rPr>
          <w:rFonts w:ascii="仿宋_GB2312" w:hAnsi="仿宋_GB2312" w:eastAsia="仿宋_GB2312"/>
          <w:b w:val="0"/>
          <w:sz w:val="32"/>
        </w:rPr>
        <w:t>丛林铝业在高端工业铝型材与轨交材料领域具备特色优势；三元铝材、博瑞特金属容器、奥瑞金包装聚焦易拉罐材料与包装容器，支撑集群包装铝材市占优势；丛林福禄好富汽车、新活新材料等延伸至汽车与建筑铝部件，拓展应用场景。头部企业共同构成集群能力骨架。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总体看，头部企业既有全产业链型链主，也有细分领域骨干，但具有全球影响力的终端品牌企业仍较少。头部阵营的“品牌化”与“国际化”仍有拓展空间，需支持链主开放场景带动配套，培育更多单项冠军与专精特新“小巨人”企业。这一态势要求企业、园区与要素市场协同发力，提升韧性与效率。建议将其纳入集群培育重点任务，强化跟踪评估与动态调整。</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集群企业集聚呈现“沿链紧凑、就近配套”的鲜明特征。企业并非简单地理扎堆，而是按铝产业链上下游就近布局，能源、熔铸、轧制、箔轧、终端在同一区域紧凑分布，物料转运半径极短，形成“物理距离近、产业关联度高”的有机集群，集聚经济效应显著。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从空间形态看，企业集中于龙口约九十平方公里集群区内，围绕铝加工链条组团分布，配套服务企业就近嵌入。这种集聚大幅降低物流、仓储与能源成本，也便于在安全环保、能源调度上园区化协同管理，提升了集群整体运行效率与韧性。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从生态特征看，集群通过链主引领、骨干配套形成紧密产业生态。但集聚也带来能耗与排放相对集中、环境容量约束趋紧等挑战，对企业的绿色低碳与本质安全水平提出更高要求。集聚质量提升比企业数量扩张更为重要，须以质效为先。从发展态势看，相关环节的提质增效与结构升级任务较为紧迫。总体判断，短板补强与优势巩固应同步推进，不可偏废其一。</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研发投入以链主企业为主体。南山铝业等大企业围绕汽车板、电池箔、航空铝等高端产品持续投入工艺与装备研发，研发强度在铝加工行业居前；骨干企业则在包装铝材、工业型材的改良上保持投入。但整体研发投入仍集中于大企业，中小企业研发强度与稳定性有待提升。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在人才投入方面，链主企业建立了较为完善的研发与技师体系，并引进高端材料与工艺人才；地方依托产业集群政策强化人才引育。但相比国际一流铝加工企业，集群在原创合金、基础工艺等领域的顶尖研发人才仍属稀缺，研发人力资本基础需进一步夯实。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需指出的是，中小企业研发投入受资本与规模约束，基础研究与应用基础研究相对薄弱。未来应完善研发投入激励机制，引导中小企业加大占比，并借助链主平台补齐共性技术短板，使研发投入结构更趋均衡、更可持续，形成大中小企业协同投入格局。相关举措的落地见效，有赖于要素保障、平台支撑与改革协同。对此应坚持问题导向，分步施策、精准发力，务求实效。</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集群创新产出以高端产品突破与产能领先为标志。南山铝业汽车板销量达十一万吨，行业龙头地位巩固；在汽车板、动力电池箔等高附加值产品上持续突破，高端产品占比提高，部分产品达到国内领先水平，创新成色较高，有效支撑了集群由普材向高端材转型。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在工艺与装备方面，集群依托链主的全产业链集成能力，在热轧、冷轧、箔轧一体化与表面处理上形成特色优势，产品力学性能与一致性持续提升。但重大原创性、颠覆性成果仍偏少，创新产出多源于工艺改良与工程化集成，原始创新能力有待增强。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总体看，集群创新产出集中体现为“以高端产品替代实现进口替代与结构升级”，在汽车板、电池箔等方向成果突出。提升从“跟跑并跑”到“领跑”的原创能力，是创新产出的下阶段着力点，也是迈向世界级铝加工基地的关键所在。把握政策与市场双重机遇，是提升该领域能级的关键所在。实践表明，只有夯实微观基础，才能筑牢集群高质量发展的根基。</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集群创新平台以企业技术中心与链主研究院为主体。南山铝业建有国家级企业技术中心、国家级工业设计中心等高水平平台，承担合金、轧制与表面处理的关键研发；骨干企业也普遍设立技术研发机构，形成以企业为主体的创新平台体系，平台层级在县级集群中较高。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在协同创新上，集群依托链主带动上下游联合攻关，并借助高校院所合作提升工艺水平。但面向中小企业的开放式中试、检测与共性技术服务平台供给仍显不足，公共创新服务半径有限。需进一步搭建区域级铝加工共性技术平台，提升中小企业可及性。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此外，集群可借鉴省内化工中试基地经验，建设铝加工共享中试与检测中心。总体平台以企业自有为主、公共为辅，层级较高但普惠性不足。提升平台成果的本地转化效率与中小企业共享度，是创新平台建设的重要方向。这为后续补链强链与政策精准供给提供了明确着力点。其成效将直接影响集群整体竞争力与可持续发展的内生动力。应在巩固现有优势基础上，加快向高端化、绿色化方向迈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集群技术转化以企业内一体化为主。链主企业凭借全产业链优势，可将研发成果在内部快速放大与验证，缩短从实验室到产线的周期；汽车板、电池箔等成果的产业化节奏明显加快，转化效率较高，体现了全产业链型企业的转化便利与协同优势。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转化方向聚焦高端化、轻量化，重点将汽车板、动力电池箔、航空铝等成果就地落地。但中小企业受中试与资本门槛制约，承接转化能力不均，部分成果外溢至外地。需建立面向中小企业的共享中试与概念验证机制，并以政策降低转化成本，提升整体效率。长远看，集约化、循环化与数字化是必由之路，须久久为功。这一态势要求企业、园区与要素市场协同发力，提升韧性与效率。</w:t>
      </w:r>
    </w:p>
    <w:p>
      <w:pPr>
        <w:spacing w:lineRule="exact" w:line="600" w:after="0"/>
        <w:ind w:firstLine="420"/>
      </w:pPr>
      <w:r>
        <w:rPr>
          <w:rFonts w:ascii="仿宋_GB2312" w:hAnsi="仿宋_GB2312" w:eastAsia="仿宋_GB2312"/>
          <w:b w:val="0"/>
          <w:sz w:val="32"/>
        </w:rPr>
        <w:t>仍存转化“最后一公里”障碍：部分高端牌号因认证周期长、客户绑定紧难以及时放量。建议强化链主—中小协同、产学研对接与首台套应用，建立成果转化基金与风险补偿，使技术转化更顺畅、更普惠，增强集群创新现实生产力。建议将其纳入集群培育重点任务，强化跟踪评估与动态调整。从产业链视角审视，该环节的价值释放仍有待进一步挖潜。</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集群劳动力以铝加工工艺、设备运维、轧制操作等技能型工人为主体，依托龙口铝产业长期积淀形成较稳定的产业工人队伍。大型链主企业普遍建立了系统的技能培训体系，能够支撑连续化、自动化产线运行，区域劳动力供给总体有保障，技能储备较扎实。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在人才结构方面，链主企业集聚了材料、轧制、自动化等领域工程技术人才，并持续引进高端研发骨干；地方以产业集群政策强化人才引育。但国际化顶尖材料科学家与复合型数字人才仍属稀缺，引才竞争压力不减，人才结构性矛盾需引起重视。上述情况表明，该领域仍有较大优化空间，需予以重视并系统施策。从发展态势看，相关环节的提质增效与结构升级任务较为紧迫。</w:t>
      </w:r>
    </w:p>
    <w:p>
      <w:pPr>
        <w:spacing w:lineRule="exact" w:line="600" w:after="0"/>
        <w:ind w:firstLine="420"/>
      </w:pPr>
      <w:r>
        <w:rPr>
          <w:rFonts w:ascii="仿宋_GB2312" w:hAnsi="仿宋_GB2312" w:eastAsia="仿宋_GB2312"/>
          <w:b w:val="0"/>
          <w:sz w:val="32"/>
        </w:rPr>
        <w:t>需关注的是，铝加工智能化改造推进使传统操作工需求下降、对数据分析与自控人才需求上升。加强产教融合与订单式培养，是化解劳动力结构性矛盾的关键举措，也是支撑集群智能化与高端化转型的重要前提。总体判断，短板补强与优势巩固应同步推进，不可偏废其一。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集群资本要素以企业自筹、银行信贷与资本市场为主，重资产铝加工项目对长期资本依赖高。链主企业凭借上市地位与较强资信获得低成本融资，并具备跨区域资本运作能力；地方通过产业基金、奖补等方式改善中小企业资本供给，融资渠道渐趋多元。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重大项目投资强度大，龙口提出到2025年培育千亿级高端铝材料产业链，相关技改与扩建项目持续推进。如此规模的资本注入显示资本对集群扩张的有力支撑，也意味着对未来汽车轻量化与新能源市场的较高预期，投资拉动特征显著。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但中小企业仍面临“融资难、融资贵”，绿色与智能改造资本回收周期长。需进一步发展供应链金融、绿色信贷与专项基金，引导社会资本参与高端铝材项目，缓解轻资产科技型企业资本约束，使资本配置更契合创新与绿色转型需要。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集群土地要素依托龙口约九十平方公里专业化铝产业承载区，用地功能分区明确，有利于装置集中与协同。但铝加工属高耗能行业，园区环境容量与能耗指标约束趋紧，新增项目须符合安全、能耗、排放准入，优质用地与能耗成为稀缺资源，影响集群扩容节奏。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能耗方面，集群推进绿色低碳转型，链主企业加大节能技改与绿电应用，单位产出能耗呈下降趋势。但电解、熔铸、轧制等环节能耗总量大，在“双碳”约束下能耗指标成为硬约束，未来扩建高附加值项目须以能耗强度下降为前提，集约内涵式发展势在必行。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需重点关注，土地与能耗“双约束”将长期影响项目布局。建议推行集约用地与“亩均效益”评价，优先保障高附加值、低能耗项目，以能耗强度下降换取发展容量，使要素约束转化为集群提质增效的倒逼动力。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集群原材料以铝土矿、氧化铝、电解铝为核心起点，依托“能源—铝土矿—氧化铝—电解铝”一体化保障原料供给。南山铝业在海外布局氧化铝资源基地以稳定供给，体现资源保障的全球化视野；本地能源与熔铸能力为链条提供稳定源头，是集群根植性的关键禀赋。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在资源循环方面，废铝回收与再生利用嵌入链条末端，形成原料梯次利用闭环，降低对外购原生铝的依赖。但铝土矿对外依存度仍高，国际矿价与航运波动对成本影响显著，资源安全保障需持续关注并加强多元化储备与再生体系建设。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从替代资源看，集群可扩大再生铝高值化利用、探索低碳铝与绿电铝路线。总体判断，原料基础雄厚但高度依赖外部矿源，需通过一体化、资源循环与新能源耦合增强韧性，降低单一资源波动对产业链的冲击，构建更具弹性的资源保障体系。应在巩固现有优势基础上，加快向高端化、绿色化方向迈进。相关举措的落地见效，有赖于要素保障、平台支撑与改革协同。</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集群产品以国内大循环为主，下游覆盖汽车、轨道交通、包装、电子等多个领域。汽车板对接新能源整车轻量化，轨交型材服务动车与城轨装备，易拉罐材料与铝箔供应食品饮料包装，国内客户基础扎实，市场根基稳固，是国内交通与包装铝材的重要供给基地。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市场地位上，汽车板及轨交车体型材市占率约百分之六十、易拉罐材料约百分之五十、铝箔约百分之三十，在细分市场具备较强话语权。随着国内汽车轻量化与新能源爆发，高端铝材需求持续扩张，为集群提供稳定市场空间与增长动能，内需拉动特征突出。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需关注的是，部分大宗铝材受产能周期与价格竞争影响波动较大，盈利对铝价敏感度高。建议强化与下游头部客户的战略绑定、发展定制化与差异化产品，提升价格风险管理能力，稳固并拓展国内市场份额，平滑行业周期波动带来的冲击。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集群外贸以铝板带箔及深加工产品出口为主，依托港口与产业链优势参与国际分工。南山铝业等产品远销欧美、日韩及东南亚，汽车板、包装铝材凭借性价比与品质占有国际市场一定份额，出口成为链条增值的重要渠道，国际竞争力逐步增强。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从外向度看，集群出口规模较国内销售偏低，仍以材料与中间品为主，终端品牌出海不足。链主具备一定国际客户网络，但多数中小企业外贸能力有限，参与全球价值链深度不均。港口与区位便利为扩大出口提供硬件支撑，外贸潜力仍有释放空间。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面向未来，应鼓励企业通过国际认证、海外仓与跨国合作提升出口附加值，并防范贸易壁垒与绿色合规风险。总体判断，集群外贸具备成本与产业链优势，但需由“产品出海”向“品牌与标准出海”升级，稳步提高外向型经济质量与韧性。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集群品牌建设以企业品牌与区域品牌双线推进。企业层面，南山铝业在汽车板、包装铝材领域形成较高行业知名度，并入选《财富》中国500强；园区层面，龙口“高端交通铝材”省级特色产业集群名片强化对外形象与招商引力，区域品牌辨识度不断提升。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集群整体以省级特色产业集群、千亿级产业链目标等金字招牌强化对外认知。但相比终端消费品牌，集群品牌更多体现为B端产业品牌，面向公众认知度有限，区域公共品牌在消费端溢价能力尚待培育，品牌价值转化仍有空间，需加强传播与认证。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建议构建“区域品牌+链主品牌+产品品牌”协同体系，依托特色集群名片加强对外传播，支持企业争创中国驰名商标与单项冠军，以质量标准与绿色认证提升品牌含金量，使品牌成为集群参与国内外竞争的无形资产与价值支点。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呈现“轻量化、新能源化、高端化”三大趋势。新能源汽车与轨道交通轻量化带动汽车板、电池箔、轨交型材需求快速增长；包装升级带动高纯铝箔与易拉罐材料扩容；下游对低碳、高性能产品的偏好，推动集群向绿色高性能铝材转型，需求结构持续优化。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政策端“双碳”与目标约束使高耗能普材需求增速放缓，倒逼集群提升高端产品占比。龙口规划千亿级高端铝材产业链正是对需求结构变化的主动响应，安全环保与轻量化标准提升也改变了下游客户的供应商选择偏好，绿色供应商更受青睐。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需关注需求波动与替代材料风险，如钢铝竞争、复合材料替代等。集群应建立需求监测预警机制，强化与下游头部客户联合研发与敏捷供应，以需求牵引创新，避免产能结构性过剩，在需求变局中保持产品结构的动态优化与竞争力。上述情况表明，该领域仍有较大优化空间，需予以重视并系统施策。从发展态势看，相关环节的提质增效与结构升级任务较为紧迫。</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省内看，龙口集群面临邹平、淄博、潍坊等地铝产业集群竞争，各地在汽车板、工业型材、铝箔等方向存在同质化布局倾向。邹平凭借电解铝与铝深加工规模、淄博依托工业基础、潍坊临朐依托建筑铝材，区域间对优质项目与人才的争夺趋于激烈，竞争压力加大。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国内看，长三角、西南等地铝加工基地在高端汽车板、航空铝领域起步早、创新强，对高端客户与资本吸引力更强。龙口在完整链条与汽车板规模上具优势，但在原创合金、终端品牌与研发总部上相对落后，区域竞争格局中处于“链条全、两端弱”的位置，需找准差异化定位。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应对区域竞争，集群应立足“最短距离完整链条+汽车板龙头”的差异化优势，强化与省内其他片区错位协同而非同质拼抢，聚焦交通轻量化高附加值产品，打造难以复制的紧凑产业链与低碳标签，以特色壁垒应对同业竞争压力。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一是产业结构“头重脚轻”。集群以材料制造为主，终端制品与品牌偏弱，增加值率与抗周期能力有待增强。二是中小企业梯队不够厚实，链属配套企业数量与质量不均，部分环节存在配套断层，产业生态稳健性受一定影响，中坚企业厚度不足。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三是创新转化效率仍受制于中试与资本瓶颈，原创性成果偏少。四是能耗与排放约束趋紧，电解、熔铸环节节能降碳任务重，绿色转型压力大。五是人才结构性矛盾，一线高技能与复合型数字人才不足，国际化研发领军人才稀缺，制约高端化步伐。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上述问题相互交织，若不能系统破解，将制约集群由规模扩张向质量效益转型。需以补链强链、企业培育、平台增效、绿色安全为主线协同施策，推动内部问题逐项化解，筑牢高质量发展根基，避免低水平扩张与同质内耗。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一是铝价与原料波动风险。集群高度依赖铝土矿等外部资源，国际矿价与航运波动将直接传导至成本与利润，叠加地缘政治不确定性，原料安全保障面临挑战。二是贸易与绿色合规风险，欧美碳边境调节等机制可能抬升出口成本，对铝材出海形成新约束。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三是技术替代与产能周期风险。复合材料、镁合金等对铝材形成长期替代压力；国内同类产能集中投放可能引发阶段性过剩与价格战，影响投资回报。四是安全环保政策趋严带来的合规成本上升，部分中小企业或面临退出与整合压力，行业洗牌或加速。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总体看，外部风险以周期性、政策性与技术性为主，需通过资源多元化、产品高端化、绿色低碳化与供应链韧性建设加以对冲。建议建立风险预警与应急预案，强化原料储备与期货工具运用，以稳健经营穿越行业周期与外部不确定性。需重点关注结构性矛盾，防止低水平重复建设与同质化竞争。这为后续补链强链与政策精准供给提供了明确着力点。</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层面，集群契合国家新型工业化、汽车轻量化与“双碳”战略，享受有色金属高端化与先进制造业集群相关政策支持。山东省将高端铝材纳入重点产业链，明确龙口在高端交通铝材上的枢纽定位，为集群争取重大项目与产能指标提供顶层依据，政策坐标清晰。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在特色产业集群培育上，省市建立梯度培育体系，对特色产业集群实行公共服务与要素保障；烟台市将特色产业集群培育作为工业经济高质量发展引擎，深入开展典型示范推广。龙口高端交通铝材集群入选2022年省级特色产业集群，获省级统筹支持，政策红利持续释放。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绿色低碳政策方面，铝行业纳入能耗双控与产能置换管理，园区可对接国家绿色制造与低碳相关试点。顶层政策总体利好，但铝加工能耗、产能指标约束趋紧，政策落地仍需与地方空间与容量条件匹配，避免“有政策、缺容量”的错配，确保可操作可落地。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以龙口市为实施主体，围绕项目、企业、人才提供全周期服务。龙口紧扣“规模扩张、内涵提升、环境友好”三大战略，实施建链、延链、强链工程，对重点铝材项目实行专班化调度，强化用地、能耗、环评等要素保障，营商环境持续优化。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在资金扶持上，地方落实各级奖补，并通过产业基金等方式缓解企业资本约束；推行惠企政策“免申即享、直达快享”，降低企业制度性成本。对链主的精准扶持取向明显，政策精准度提升，有力支撑了千亿级高端铝材产业链目标的推进与企业培育。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在项目推进上，地方对重点项目强化要素集成保障。地方扶持力度较大，但中小企业获得感仍受规模与资质影响，需进一步提升政策触达的普惠性与精准度，让更多中小企业享受政策阳光，形成大中小企业融通发展的良性生态。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是集群的重要支撑。龙口具备港口、能源、危化与物流等专业基础设施，依托紧凑产业链形成“隔墙供应”式配套，企业间物料与能源就近互供，降低物流与协作成本，构成难以复制的硬配套优势，显著增强集群吸引力与运行效率。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在创新配套上，链主企业技术中心、检测与中试资源为上下游提供共性服务；地方推动产学研合作平台，支撑工艺改良与成果转化。但面向中小企业的开放式中试、检测与共性技术服务平台供给仍有扩容空间，需提升公共服务普惠可及程度。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在生活配套上，龙口城市功能完善，人才安居环境较好。但公共服务对中小企业特别是初创科技企业的开放度与成本仍可优化，检测、中试等高端服务共享机制有待完善，以让更多中小企业低成本享受集群公共配套红利，提升整体创新效率。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产业联盟在集群治理中逐步发挥作用。园区通过产业链联盟、产学研共同体等组织企业开展技术对接与标准协作，弥补单一企业研发与市场能力不足。龙头企业牵头的准行业组织功能显现，在供需对接与协同攻关中发挥桥梁作用，治理效率提升。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在对外交流方面，行业组织协助企业参与展会、标准制定与政策宣讲，提升集群整体话语权；在内部自律上，可推动绿色制造、安全生产的共性规范，促进企业间经验共享。但相比成熟集群，本地专业化铝加工协会独立性与服务深度仍有限，自治能力待加强。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建议培育壮大本地铝加工行业协会，赋予其行业统计、标准制定、培训与交流职能，形成“政府—平台—协会—企业”多元共治格局，以行业自律与协作降低治理成本，增强集群内部凝聚力与外部影响力，让协会成为连接政府与企业的纽带。从产业链视角审视，该环节的价值释放仍有待进一步挖潜。把握政策与市场双重机遇，是提升该领域能级的关键所在。</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集群经济效应显著。2021年集群营业收入六百三十四亿元、产值七百二十一亿余元，是龙口市工业经济的支柱与烟台市重要增长极，对全市经济总量与税收贡献突出，经济拉动作用强劲而稳定，体量能级在县级铝集群中位居前列。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结构上，集群由普铝向高端交通铝材转型成效显现，汽车板、电池箔等高附加值产品占比提高。随着千亿级高端铝材产业链目标推进，预计高附加值产品占比持续提升，经济总量有望稳步扩张，规模与质量双重效应可期，发展后劲充足，转型红利逐步释放。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但经济效应仍受周期与结构影响，增加值率与终端溢价有待提高。需以高端产品占比提升为目标，持续优化产出结构，使经济增长更多来自创新与效率而非单纯产能扩张，提升经济效应的稳定性与可持续性，实现量质齐升。需重点关注结构性矛盾，防止低水平重复建设与同质化竞争。这为后续补链强链与政策精准供给提供了明确着力点。其成效将直接影响集群整体竞争力与可持续发展的内生动力。</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集群就业效应体现在直接就业与关联带动两方面。铝加工连续化产线提供大量工艺操作、设备运维、质量检测等技能岗位，链主与配套企业共同形成稳定就业基本盘；物流、检测等生产性服务业也吸纳较多就业，对本地居民增收作用明显，就业蓄水池功能突出。应在巩固现有优势基础上，加快向高端化、绿色化方向迈进。相关举措的落地见效，有赖于要素保障、平台支撑与改革协同。</w:t>
      </w:r>
    </w:p>
    <w:p>
      <w:pPr>
        <w:spacing w:lineRule="exact" w:line="600" w:after="0"/>
        <w:ind w:firstLine="420"/>
      </w:pPr>
      <w:r>
        <w:rPr>
          <w:rFonts w:ascii="仿宋_GB2312" w:hAnsi="仿宋_GB2312" w:eastAsia="仿宋_GB2312"/>
          <w:b w:val="0"/>
          <w:sz w:val="32"/>
        </w:rPr>
        <w:t>在人才就业上，集群集聚材料、轧制、自动化等工程技术人才，并吸引数字化运维人才落户，带动人力资本提升。城市配套改善进一步增强就业吸引力，使集群成为区域引才聚才的重要平台，对缓解本地人才外流具有积极作用，人才红利逐步释放。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需关注的是，智能化改造在提升效率的同时可能压缩传统操作岗位，就业结构将向高技能倾斜。应加强职业再培训与产教融合，引导劳动力向运维、研发、数字化等新岗位转移，使就业效应在结构升级中保持稳定并优化，避免结构性失业。这一态势要求企业、园区与要素市场协同发力，提升韧性与效率。建议将其纳入集群培育重点任务，强化跟踪评估与动态调整。</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集群溢出效应表现为技术、配套与区域带动。链主企业的技术、检测与中试资源向上下游溢出，提升区域配套水平；紧凑产业链使物料在区域内循环，降低周边企业成本，正外部性较为明显。包装、汽车部件等下游在本地集聚，带动相关制造业协同发展。从产业链视角审视，该环节的价值释放仍有待进一步挖潜。把握政策与市场双重机遇，是提升该领域能级的关键所在。</w:t>
      </w:r>
    </w:p>
    <w:p>
      <w:pPr>
        <w:spacing w:lineRule="exact" w:line="600" w:after="0"/>
        <w:ind w:firstLine="420"/>
      </w:pPr>
      <w:r>
        <w:rPr>
          <w:rFonts w:ascii="仿宋_GB2312" w:hAnsi="仿宋_GB2312" w:eastAsia="仿宋_GB2312"/>
          <w:b w:val="0"/>
          <w:sz w:val="32"/>
        </w:rPr>
        <w:t>在产业链溢出上，集群为省内汽车、包装、电子等下游产业提供稳定铝材，带动相关制造业发展；港口与物流能力辐射胶东，强化区域经济枢纽功能。省级特色产业集群品牌的溢出也提升了龙口在铝加工版图中的话语权与招商引力，区域带动效应增强。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但溢出效应受益面仍偏重链主与邻近企业，广大中小企业与服务业联动不足。应通过平台开放、供需对接与产城融合扩大溢出半径，使集群红利更多外溢至中小企业、县域经济与民生领域，放大正外部性，让更多主体共享发展成果。从发展态势看，相关环节的提质增效与结构升级任务较为紧迫。总体判断，短板补强与优势巩固应同步推进，不可偏废其一。</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集群社会效应集中于绿色低碳与公共安全。链主企业加大节能技改与绿电应用，单位产出能耗下降，为区域“双碳”目标作出实质贡献，改善生态环境质量，提升社会对新铝加工接受度，生态文明效益显著，绿色制造形象逐步树立。需重点关注结构性矛盾，防止低水平重复建设与同质化竞争。这为后续补链强链与政策精准供给提供了明确着力点。</w:t>
      </w:r>
    </w:p>
    <w:p>
      <w:pPr>
        <w:spacing w:lineRule="exact" w:line="600" w:after="0"/>
        <w:ind w:firstLine="420"/>
      </w:pPr>
      <w:r>
        <w:rPr>
          <w:rFonts w:ascii="仿宋_GB2312" w:hAnsi="仿宋_GB2312" w:eastAsia="仿宋_GB2312"/>
          <w:b w:val="0"/>
          <w:sz w:val="32"/>
        </w:rPr>
        <w:t>在公共安全上，园区化安全管理使重大危险源与环保风险点可控，应急处置能力增强，降低安全事故潜在威胁。同时，集群带动就业与税收，支撑教育、医疗、城建等公共服务改善，增强社会福祉与居民获得感，发展成果惠及地方的效应逐步显现。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需持续强化安全环保信息公开与社区沟通，化解“邻避”顾虑；以低碳、安全、透明运营塑造负责任企业公民形象，使集群发展获得更广泛社会认同，实现经济效益、生态效益与社会效益的统一，构建企业与社区良性互动格局。相关举措的落地见效，有赖于要素保障、平台支撑与改革协同。对此应坚持问题导向，分步施策、精准发力，务求实效。</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综合看，集群现存问题可归纳为四类：一是产业结构失衡，终端制品与品牌偏弱，增加值率与抗周期能力不强；二是企业梯队不完备，中小企业配套质量不均，中坚企业厚度不足；三是创新转化效率受限，原创成果少、中试与资本瓶颈突出；四是能耗与要素约束趋紧，发展空间受限。长远看，集约化、循环化与数字化是必由之路，须久久为功。</w:t>
      </w:r>
    </w:p>
    <w:p>
      <w:pPr>
        <w:spacing w:lineRule="exact" w:line="600" w:after="0"/>
        <w:ind w:firstLine="420"/>
      </w:pPr>
      <w:r>
        <w:rPr>
          <w:rFonts w:ascii="仿宋_GB2312" w:hAnsi="仿宋_GB2312" w:eastAsia="仿宋_GB2312"/>
          <w:b w:val="0"/>
          <w:sz w:val="32"/>
        </w:rPr>
        <w:t>此外，区域同质化竞争加剧、国际化品牌与高端人才不足、协会治理作用有限等问题并存。这些问题既有集群自身成长阶段的共性，也有路径依赖的个性，需在发展中系统破题，不能单兵突进。问题清单清晰，是下一步补链强链与政策优化的出发点，须靶向施策。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需强调，集群优势同样突出：完整紧凑链条、汽车板龙头、千亿级目标清晰。对策应在巩固优势基础上补短板，走“特色化、高端化、绿色化、集约化”之路，避免贪大求全、重复建设，确保问题整改与发展提质同步推进，行稳致远。从产业链视角审视，该环节的价值释放仍有待进一步挖潜。把握政策与市场双重机遇，是提升该领域能级的关键所在。</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方面，优先填补高端合金与关键装备短板，强化汽车板、航空铝等所需核心合金与表面处理本地配套，减少对外依赖。强链方面，提升汽车板、电池箔、轨交型材的一体化深度，做精高表面质量、高性能产品，巩固在交通轻量化领域的优势环节与市占地位。实践表明，只有夯实微观基础，才能筑牢集群高质量发展的根基。上述情况表明，该领域仍有较大优化空间，需予以重视并系统施策。</w:t>
      </w:r>
    </w:p>
    <w:p>
      <w:pPr>
        <w:spacing w:lineRule="exact" w:line="600" w:after="0"/>
        <w:ind w:firstLine="420"/>
      </w:pPr>
      <w:r>
        <w:rPr>
          <w:rFonts w:ascii="仿宋_GB2312" w:hAnsi="仿宋_GB2312" w:eastAsia="仿宋_GB2312"/>
          <w:b w:val="0"/>
          <w:sz w:val="32"/>
        </w:rPr>
        <w:t>延链方面，向终端部件与系统集成延伸，发展汽车结构件、轨交装备部件、绿色包装成品，提高本地转化率与品牌溢价；布局再生铝高值化、低碳铝与复合材料前沿方向，延伸价值曲线尾端，提升产业链控制力与抗风险能力，增强终端话语权。从发展态势看，相关环节的提质增效与结构升级任务较为紧迫。总体判断，短板补强与优势巩固应同步推进，不可偏废其一。</w:t>
      </w:r>
    </w:p>
    <w:p>
      <w:pPr>
        <w:spacing w:lineRule="exact" w:line="600" w:after="0"/>
        <w:ind w:firstLine="420"/>
      </w:pPr>
      <w:r>
        <w:rPr>
          <w:rFonts w:ascii="仿宋_GB2312" w:hAnsi="仿宋_GB2312" w:eastAsia="仿宋_GB2312"/>
          <w:b w:val="0"/>
          <w:sz w:val="32"/>
        </w:rPr>
        <w:t>同时，以绿色循环为延链底色，发展废铝高值化回收与绿电铝。建议绘制动态招商图谱，按“缺什么补什么”精准引育，避免低效重复，形成“原料—材料—部件—成品”贯通、进出有序的现代化产业链生态，增强整体竞争力与韧性。需重点关注结构性矛盾，防止低水平重复建设与同质化竞争。这为后续补链强链与政策精准供给提供了明确着力点。</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实施链主领航与中小企业“卡位入链”并重。支持南山铝业等链主提升一体化与国际化能力，鼓励其开放场景、订单与中试资源带动配套；对丛林铝业、三元铝材、奥瑞金等骨干企业，强化单项冠军与“小巨人”梯次培育，壮大中间层企业厚度，优化企业规模结构。其成效将直接影响集群整体竞争力与可持续发展的内生动力。应在巩固现有优势基础上，加快向高端化、绿色化方向迈进。</w:t>
      </w:r>
    </w:p>
    <w:p>
      <w:pPr>
        <w:spacing w:lineRule="exact" w:line="600" w:after="0"/>
        <w:ind w:firstLine="420"/>
      </w:pPr>
      <w:r>
        <w:rPr>
          <w:rFonts w:ascii="仿宋_GB2312" w:hAnsi="仿宋_GB2312" w:eastAsia="仿宋_GB2312"/>
          <w:b w:val="0"/>
          <w:sz w:val="32"/>
        </w:rPr>
        <w:t>建立“创新型中小企业—专精特新—单项冠军”成长阶梯，落实惠企政策“免申即享”，扩大产业基金对科技型中小企业覆盖；鼓励中小企业聚焦细分“隐形冠军”，以专补短、以精取胜。对拟上市企业加强辅导，推动资本与产业深度融合，增强企业资本实力。相关举措的落地见效，有赖于要素保障、平台支撑与改革协同。对此应坚持问题导向，分步施策、精准发力，务求实效。</w:t>
      </w:r>
    </w:p>
    <w:p>
      <w:pPr>
        <w:spacing w:lineRule="exact" w:line="600" w:after="0"/>
        <w:ind w:firstLine="420"/>
      </w:pPr>
      <w:r>
        <w:rPr>
          <w:rFonts w:ascii="仿宋_GB2312" w:hAnsi="仿宋_GB2312" w:eastAsia="仿宋_GB2312"/>
          <w:b w:val="0"/>
          <w:sz w:val="32"/>
        </w:rPr>
        <w:t>此外，推动中小企业数字化与绿色化改造，提升本质安全与能效水平；支持企业兼并重组与协作配套，形成大中小企业融通发展格局。企业培育应避免“重引进、轻服务”，以全生命周期服务稳住存量、做大增量，夯实集群微观基础。长远看，集约化、循环化与数字化是必由之路，须久久为功。这一态势要求企业、园区与要素市场协同发力，提升韧性与效率。</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强化“企业出题、揭榜挂帅、中试转化”机制，提升原创与工程化能力。依托链主技术中心与区域平台，扩容面向中小企业的共享中试与检测服务，降低成果转化门槛；支持链主深化与高校院所合作，补强共性技术短板，完善铝加工创新基础设施体系。建议将其纳入集群培育重点任务，强化跟踪评估与动态调整。从产业链视角审视，该环节的价值释放仍有待进一步挖潜。</w:t>
      </w:r>
    </w:p>
    <w:p>
      <w:pPr>
        <w:spacing w:lineRule="exact" w:line="600" w:after="0"/>
        <w:ind w:firstLine="420"/>
      </w:pPr>
      <w:r>
        <w:rPr>
          <w:rFonts w:ascii="仿宋_GB2312" w:hAnsi="仿宋_GB2312" w:eastAsia="仿宋_GB2312"/>
          <w:b w:val="0"/>
          <w:sz w:val="32"/>
        </w:rPr>
        <w:t>加大研发投入引导，对汽车板、电池箔、航空铝、低碳铝等方向给予专项支持；鼓励企业与高校共建联合实验室，承担重点研发计划。完善人才链，扩大高端材料与工艺人才引进，强化产教融合培养复合型数字与轧制人才，筑牢创新人力资本根基。把握政策与市场双重机遇，是提升该领域能级的关键所在。实践表明，只有夯实微观基础，才能筑牢集群高质量发展的根基。</w:t>
      </w:r>
    </w:p>
    <w:p>
      <w:pPr>
        <w:spacing w:lineRule="exact" w:line="600" w:after="0"/>
        <w:ind w:firstLine="420"/>
      </w:pPr>
      <w:r>
        <w:rPr>
          <w:rFonts w:ascii="仿宋_GB2312" w:hAnsi="仿宋_GB2312" w:eastAsia="仿宋_GB2312"/>
          <w:b w:val="0"/>
          <w:sz w:val="32"/>
        </w:rPr>
        <w:t>推动创新产出导向由“工艺改良”转向“原创领跑”，围绕进口替代与全球领先产品持续攻关，力争在更多高端牌号上形成标准话语权。以创新这一“关键变量”转化为集群高质量发展的“最大增量”，构筑长期竞争优势，迈向世界级铝加工基地。上述情况表明，该领域仍有较大优化空间，需予以重视并系统施策。从发展态势看，相关环节的提质增效与结构升级任务较为紧迫。</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土地与能耗方面，推行集约用地与“亩均效益”评价，优先保障高附加值、低能耗项目；用好绿色制造政策，扩大绿电应用与节能技改，以能耗强度下降换取发展容量。对优质项目实行能耗、环评、用地要素集成保障，避免容量错配制约落地，提升要素配置效率。总体判断，短板补强与优势巩固应同步推进，不可偏废其一。需重点关注结构性矛盾，防止低水平重复建设与同质化竞争。</w:t>
      </w:r>
    </w:p>
    <w:p>
      <w:pPr>
        <w:spacing w:lineRule="exact" w:line="600" w:after="0"/>
        <w:ind w:firstLine="420"/>
      </w:pPr>
      <w:r>
        <w:rPr>
          <w:rFonts w:ascii="仿宋_GB2312" w:hAnsi="仿宋_GB2312" w:eastAsia="仿宋_GB2312"/>
          <w:b w:val="0"/>
          <w:sz w:val="32"/>
        </w:rPr>
        <w:t>资本方面，发展铝加工专项基金、绿色信贷与供应链金融，缓解中小企业长期资本约束；探索知识产权质押与中试风险补偿，支持轻资产科技企业融资。劳动力方面，深化产教融合与订单培养，建设铝加工高技能人才与数字运维人才供给体系，化解结构性短缺。这为后续补链强链与政策精准供给提供了明确着力点。其成效将直接影响集群整体竞争力与可持续发展的内生动力。</w:t>
      </w:r>
    </w:p>
    <w:p>
      <w:pPr>
        <w:spacing w:lineRule="exact" w:line="600" w:after="0"/>
        <w:ind w:firstLine="420"/>
      </w:pPr>
      <w:r>
        <w:rPr>
          <w:rFonts w:ascii="仿宋_GB2312" w:hAnsi="仿宋_GB2312" w:eastAsia="仿宋_GB2312"/>
          <w:b w:val="0"/>
          <w:sz w:val="32"/>
        </w:rPr>
        <w:t>原材料方面，稳定铝土矿等外部资源供给，拓展海外基地与多元采购，发展再生铝与资源循环降低单点依赖。以“双控”倒逼要素效率提升，使土地、能耗、资本、人才、原料等要素协同服务于高端化与绿色化转型，筑牢集群可持续发展要素底座。应在巩固现有优势基础上，加快向高端化、绿色化方向迈进。相关举措的落地见效，有赖于要素保障、平台支撑与改革协同。</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应坚持“规划统领、精准扶持、普惠可及”。完善特色集群培育与调度机制，增强对中小企业的公共服务供给；将绿色制造、智能制造成熟政策用足，争取国家产能指标与绿色金融倾斜，形成政策叠加效应，放大政策杠杆作用，激发集群内生动力。对此应坚持问题导向，分步施策、精准发力，务求实效。长远看，集约化、循环化与数字化是必由之路，须久久为功。</w:t>
      </w:r>
    </w:p>
    <w:p>
      <w:pPr>
        <w:spacing w:lineRule="exact" w:line="600" w:after="0"/>
        <w:ind w:firstLine="420"/>
      </w:pPr>
      <w:r>
        <w:rPr>
          <w:rFonts w:ascii="仿宋_GB2312" w:hAnsi="仿宋_GB2312" w:eastAsia="仿宋_GB2312"/>
          <w:b w:val="0"/>
          <w:sz w:val="32"/>
        </w:rPr>
        <w:t>提升扶持政策普惠性与精准度，扩大“免申即享”范围，让中小企业切实享受奖补与人才政策支持；强化部门联合下沉办公，压缩项目审批与合规成本。培育本地行业协会，赋予统计、标准、培训职能，形成多元共治，降低治理与协调成本，营造高效透明环境。这一态势要求企业、园区与要素市场协同发力，提升韧性与效率。建议将其纳入集群培育重点任务，强化跟踪评估与动态调整。</w:t>
      </w:r>
    </w:p>
    <w:p>
      <w:pPr>
        <w:spacing w:lineRule="exact" w:line="600" w:after="0"/>
        <w:ind w:firstLine="420"/>
      </w:pPr>
      <w:r>
        <w:rPr>
          <w:rFonts w:ascii="仿宋_GB2312" w:hAnsi="仿宋_GB2312" w:eastAsia="仿宋_GB2312"/>
          <w:b w:val="0"/>
          <w:sz w:val="32"/>
        </w:rPr>
        <w:t>建立集群动态评估与风险预警机制，定期监测结构、安全、能耗与外贸合规，及时纠偏。以“有为政府+有效市场”协同，营造稳定、透明、可预期营商环境，使政策红利真正转化为集群补链强链、创新提升与绿色转型的实际成效，迈向世界级高端铝材基地。从产业链视角审视，该环节的价值释放仍有待进一步挖潜。把握政策与市场双重机遇，是提升该领域能级的关键所在。</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烟台市新增2个省级特色产业集群（sdnews.com.cn，2022-05-20）https://yantai.sdnews.com.cn/ytxw/202205/t20220520_3039350.htm</w:t>
      </w:r>
    </w:p>
    <w:p>
      <w:pPr>
        <w:spacing w:lineRule="exact" w:line="600" w:after="0"/>
        <w:ind w:firstLine="0"/>
      </w:pPr>
      <w:r>
        <w:rPr>
          <w:rFonts w:ascii="仿宋_GB2312" w:hAnsi="仿宋_GB2312" w:eastAsia="仿宋_GB2312"/>
          <w:b w:val="0"/>
          <w:sz w:val="32"/>
        </w:rPr>
        <w:t>2. “观烟台”速递丨烟台产业集群飞起新“雁阵”（thepaper.cn，2022年）https://m.thepaper.cn/baijiahao_18692278</w:t>
      </w:r>
    </w:p>
    <w:p>
      <w:pPr>
        <w:spacing w:lineRule="exact" w:line="600" w:after="0"/>
        <w:ind w:firstLine="0"/>
      </w:pPr>
      <w:r>
        <w:rPr>
          <w:rFonts w:ascii="仿宋_GB2312" w:hAnsi="仿宋_GB2312" w:eastAsia="仿宋_GB2312"/>
          <w:b w:val="0"/>
          <w:sz w:val="32"/>
        </w:rPr>
        <w:t>3. 南山铝业上榜《财富》中国500强 排名从429位升至414位（toutiao.com，2022-07-15）https://www.toutiao.com/article/7120494370335490563/</w:t>
      </w:r>
    </w:p>
    <w:p>
      <w:pPr>
        <w:spacing w:lineRule="exact" w:line="600" w:after="0"/>
        <w:ind w:firstLine="0"/>
      </w:pPr>
      <w:r>
        <w:rPr>
          <w:rFonts w:ascii="仿宋_GB2312" w:hAnsi="仿宋_GB2312" w:eastAsia="仿宋_GB2312"/>
          <w:b w:val="0"/>
          <w:sz w:val="32"/>
        </w:rPr>
        <w:t>4. 南山铝业：2021年净利润同比增长66.43%（cs.com.cn，2022-03-31）https://cs.com.cn/xinpi/cis/202203/t20220331_6255751.html</w:t>
      </w:r>
    </w:p>
    <w:p>
      <w:pPr>
        <w:spacing w:lineRule="exact" w:line="600" w:after="0"/>
        <w:ind w:firstLine="0"/>
      </w:pPr>
      <w:r>
        <w:rPr>
          <w:rFonts w:ascii="仿宋_GB2312" w:hAnsi="仿宋_GB2312" w:eastAsia="仿宋_GB2312"/>
          <w:b w:val="0"/>
          <w:sz w:val="32"/>
        </w:rPr>
        <w:t>5. 财鑫闻丨2021年山东传统制造业迎业绩大爆发（toutiao.com，2022年）https://www.toutiao.com/article/7074924667772862990/</w:t>
      </w:r>
    </w:p>
    <w:p>
      <w:pPr>
        <w:spacing w:lineRule="exact" w:line="600" w:after="0"/>
        <w:ind w:firstLine="0"/>
      </w:pPr>
      <w:r>
        <w:rPr>
          <w:rFonts w:ascii="仿宋_GB2312" w:hAnsi="仿宋_GB2312" w:eastAsia="仿宋_GB2312"/>
          <w:b w:val="0"/>
          <w:sz w:val="32"/>
        </w:rPr>
        <w:t>6. 我市聚焦产业转型升级激发高质量发展新活力 34个“逐绿向新”项目“燃动”龙口（longkou.gov.cn，2025-09-22）https://www.longkou.gov.cn/art/2025/9/22/art_50995_2956571.html</w:t>
      </w:r>
    </w:p>
    <w:p>
      <w:pPr>
        <w:spacing w:lineRule="exact" w:line="600" w:after="0"/>
        <w:ind w:firstLine="0"/>
      </w:pPr>
      <w:r>
        <w:rPr>
          <w:rFonts w:ascii="仿宋_GB2312" w:hAnsi="仿宋_GB2312" w:eastAsia="仿宋_GB2312"/>
          <w:b w:val="0"/>
          <w:sz w:val="32"/>
        </w:rPr>
        <w:t>7. 山东龙口：高端铝材料千亿级产业链的进阶之路（idb.yantai.gov.cn，2026年）https://idb.yantai.gov.cn/col/col1357/art/2026/art_970344f5ce4846ddab574cf2e8a71dcb.html</w:t>
      </w:r>
    </w:p>
    <w:p>
      <w:pPr>
        <w:spacing w:lineRule="exact" w:line="600" w:after="0"/>
        <w:ind w:firstLine="0"/>
      </w:pPr>
      <w:r>
        <w:rPr>
          <w:rFonts w:ascii="仿宋_GB2312" w:hAnsi="仿宋_GB2312" w:eastAsia="仿宋_GB2312"/>
          <w:b w:val="0"/>
          <w:sz w:val="32"/>
        </w:rPr>
        <w:t>8. 山东龙口：千亿“龙口铝”集群向高而行（app.xinhuanet.com）https://app.xinhuanet.com/news/article.html?articleId=50f0c1eef2bae34c789dc6c8d98c95a3</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