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山东省东营市河口区烯烃材料产业集群发展研究报告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东营市烯烃材料产业集群于2023年9月由工业和信息化部认定为国家级中小企业特色产业集群，申报主体为东营港经济开发区（河口区）。该集群地处渤海湾畔，是山东省唯一同时入选高端化工、新材料、现代海洋三大“十强”产业的雁阵形集群开发区，区位与港口条件突出，这一基础条件为集群后续延链强链提供了重要依托，上述属性特征共同构成了集群参与区域竞争的独特禀赋。</w:t>
      </w:r>
    </w:p>
    <w:p>
      <w:pPr>
        <w:spacing w:lineRule="exact" w:line="600" w:after="0"/>
        <w:ind w:firstLine="420"/>
      </w:pPr>
      <w:r>
        <w:rPr>
          <w:rFonts w:ascii="仿宋_GB2312" w:hAnsi="仿宋_GB2312" w:eastAsia="仿宋_GB2312"/>
          <w:b w:val="0"/>
          <w:sz w:val="32"/>
        </w:rPr>
        <w:t>集群依托东营港经济开发区这一省级化工园区核心载体，由河口区统筹规划、港产城一体推进。园区规划面积相对集中，公用工程与管廊体系完备，形成了以烯烃及下游新材料为主攻方向的特色产业体系，是环渤海地区重要的烯烃新材料生产基地，从发展禀赋看，其区位与产业传承优势具有较强不可复制性，清晰的基础属性界定，有助于精准施策与资源高效配置。</w:t>
      </w:r>
    </w:p>
    <w:p>
      <w:pPr>
        <w:spacing w:lineRule="exact" w:line="600" w:after="0"/>
        <w:ind w:firstLine="420"/>
      </w:pPr>
      <w:r>
        <w:rPr>
          <w:rFonts w:ascii="仿宋_GB2312" w:hAnsi="仿宋_GB2312" w:eastAsia="仿宋_GB2312"/>
          <w:b w:val="0"/>
          <w:sz w:val="32"/>
        </w:rPr>
        <w:t>从功能定位看，集群以丙烯、芳烃等基础烯烃为原料起点，向下游高吸水性树脂、聚丙烯酰胺、丙烯腈等新材料延伸，构建起“基础原料—合成改性—制品应用”的完整链条。其认定标志着河口区乃至东营市在高端化工新材料领域进入国家队行列，这一基础条件为集群后续延链强链提供了重要依托，上述属性特征共同构成了集群参与区域竞争的独特禀赋。</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2023年，东营港经济开发区（河口区）全区工业产值突破2000亿元，烯烃芳烃主导产业支撑作用显著。其中2023年1—7月，烯烃芳烃集群内23家规模以上企业实现营业收入905.2亿元，产业规模在山东省同类化工园区中位居前列，经济密度较高，从发展禀赋看，其区位与产业传承优势具有较强不可复制性，清晰的基础属性界定，有助于精准施策与资源高效配置。</w:t>
      </w:r>
    </w:p>
    <w:p>
      <w:pPr>
        <w:spacing w:lineRule="exact" w:line="600" w:after="0"/>
        <w:ind w:firstLine="420"/>
      </w:pPr>
      <w:r>
        <w:rPr>
          <w:rFonts w:ascii="仿宋_GB2312" w:hAnsi="仿宋_GB2312" w:eastAsia="仿宋_GB2312"/>
          <w:b w:val="0"/>
          <w:sz w:val="32"/>
        </w:rPr>
        <w:t>丙烯产业链是集群规模最大、链条最完整的细分方向，年产值超过600亿元。依托丙烷脱氢、丙烯腈、聚丙烯酰胺等核心装置，集群在高吸水性树脂、聚丙烯酰胺等13种产品上产能居全球第一，国内细分市场占有率普遍超过30%，规模优势明显，这一基础条件为集群后续延链强链提供了重要依托，上述属性特征共同构成了集群参与区域竞争的独特禀赋。</w:t>
      </w:r>
    </w:p>
    <w:p>
      <w:pPr>
        <w:spacing w:lineRule="exact" w:line="600" w:after="0"/>
        <w:ind w:firstLine="420"/>
      </w:pPr>
      <w:r>
        <w:rPr>
          <w:rFonts w:ascii="仿宋_GB2312" w:hAnsi="仿宋_GB2312" w:eastAsia="仿宋_GB2312"/>
          <w:b w:val="0"/>
          <w:sz w:val="32"/>
        </w:rPr>
        <w:t>总体看，集群呈现“大园区、大装置、大链条”的特征，单套装置规模经济显著。据不完全统计，园区龙头企业单体项目投资普遍在数十亿至上百亿元，产能集中度高，对区域工业的支撑和拉动作用持续增强，是河口区工业经济的核心增长极，从发展禀赋看，其区位与产业传承优势具有较强不可复制性，清晰的基础属性界定，有助于精准施策与资源高效配置。</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主导产业分别为基础原料与单体、材料合成与改性、制品制造与应用。基础原料与单体以丙烷脱氢制丙烯、芳烃（PX）等为起点，为下游提供关键单体原料，是链条的源头支撑环节，决定了集群的原料保障能力，这一基础条件为集群后续延链强链提供了重要依托，上述属性特征共同构成了集群参与区域竞争的独特禀赋，从发展禀赋看，其区位与产业传承优势具有较强不可复制性。</w:t>
      </w:r>
    </w:p>
    <w:p>
      <w:pPr>
        <w:spacing w:lineRule="exact" w:line="600" w:after="0"/>
        <w:ind w:firstLine="420"/>
      </w:pPr>
      <w:r>
        <w:rPr>
          <w:rFonts w:ascii="仿宋_GB2312" w:hAnsi="仿宋_GB2312" w:eastAsia="仿宋_GB2312"/>
          <w:b w:val="0"/>
          <w:sz w:val="32"/>
        </w:rPr>
        <w:t>材料合成与改性环节聚焦丙烯腈、聚丙烯酰胺、高吸水性树脂等高分子材料的合成与功能化改性，是集群附加值提升的核心。该环节企业装置密集、技术门槛较高，产品广泛应用于水处理、个人护理、农业保水等领域，市场空间广阔，清晰的基础属性界定，有助于精准施策与资源高效配置，这一基础条件为集群后续延链强链提供了重要依托，上述属性特征共同构成了集群参与区域竞争的独特禀赋。</w:t>
      </w:r>
    </w:p>
    <w:p>
      <w:pPr>
        <w:spacing w:lineRule="exact" w:line="600" w:after="0"/>
        <w:ind w:firstLine="420"/>
      </w:pPr>
      <w:r>
        <w:rPr>
          <w:rFonts w:ascii="仿宋_GB2312" w:hAnsi="仿宋_GB2312" w:eastAsia="仿宋_GB2312"/>
          <w:b w:val="0"/>
          <w:sz w:val="32"/>
        </w:rPr>
        <w:t>制品制造与应用环节向终端新材料制品延伸，包括吸附材料、功能性高分子等。当前集群正着力推动从基础原料向高端制品跃升，提升终端应用比重，逐步改变以中间原料为主的产出结构，增强产业链抗波动能力与价值捕获能力，从发展禀赋看，其区位与产业传承优势具有较强不可复制性，清晰的基础属性界定，有助于精准施策与资源高效配置。</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烯烃产业链纵向贯通程度较高。上游以万达石化45万吨/年丙烷脱氢装置产丙烯为起点，通过园区公共管廊“隔墙供应”给科鲁尔化学26万吨/年丙烯腈装置，再供给蓝湾新材料26万吨/年聚丙烯酰胺装置，形成原料就地转化的紧凑链条，补齐上述环节短板对提升产业链韧性和附加值至关重要，这一结构特征决定了集群在价值链分工中的位势与空间。</w:t>
      </w:r>
    </w:p>
    <w:p>
      <w:pPr>
        <w:spacing w:lineRule="exact" w:line="600" w:after="0"/>
        <w:ind w:firstLine="420"/>
      </w:pPr>
      <w:r>
        <w:rPr>
          <w:rFonts w:ascii="仿宋_GB2312" w:hAnsi="仿宋_GB2312" w:eastAsia="仿宋_GB2312"/>
          <w:b w:val="0"/>
          <w:sz w:val="32"/>
        </w:rPr>
        <w:t>在芳烃方向，威联化学PX装置是山东省唯一列入国家《石化产业规划布局方案》的芳烃项目，为下游聚酯及新材料提供基础单体，丰富了集群的原料谱系。链条上游原料与中游合成、下游制品之间衔接顺畅，减少了长途运输与中间库存成本，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总体看，集群在丙烯—丙烯腈—聚丙烯酰胺主链上完整度居国内前列，关键节点均由龙头企业覆盖。但向更末端的功能化制品延伸仍不充分，链条“头重脚轻”的特征依然存在，后续需在中下游制品环节进一步补强完善，补齐上述环节短板对提升产业链韧性和附加值至关重要，这一结构特征决定了集群在价值链分工中的位势与空间，强化上下游协同是增强产业链整体竞争力的关键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体现在下游应用端。多数产能集中于丙烯、丙烯腈、聚丙烯酰胺等中间原料，终端高附加值制品、复合材料和专用料比重偏低，产品多以大宗工业品形式外售，价值留存本地比例有限，易受上游原料价格周期影响，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在高性能催化剂、关键助剂、高端专用树脂等“卡脖子”配套环节，集群仍部分依赖外部供应，本地配套率有待提升。部分细分领域技术工艺与国外领先水平存在差距，原创性、引领性成果仍显不足，制约了链条整体竞争力的进一步提升，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此外，链条向新能源、电子化学品等高增长新兴领域的延伸尚处起步阶段，新增长点培育需要时间。补齐下游制品与关键配套短板，是提升集群韧性与附加值的关键着力点，需在招商与技改中予以重点倾斜，围绕产业链薄弱环节精准发力，方能夯实集群发展根基，补齐上述环节短板对提升产业链韧性和附加值至关重要，这一结构特征决定了集群在价值链分工中的位势与空间。</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基础单体与大宗合成材料环节占据规模与成本优势，高吸水性树脂、聚丙烯酰胺等13种产品产能全球第一，具备较强的全球供给能力与国际话语权，处于全球价值链中上游的原料与基础材料供给位置，强化上下游协同是增强产业链整体竞争力的关键所在，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但在价值链高端的功能化、专用化、终端化环节，集群话语权相对有限。产品同质化程度较高、差异化不足，品牌溢价与技术服务能力偏弱，导致单位产值利润空间与领先企业相比仍有差距，价值捕获能力有待增强，这一结构特征决定了集群在价值链分工中的位势与空间，强化上下游协同是增强产业链整体竞争力的关键所在，围绕产业链薄弱环节精准发力，方能夯实集群发展根基。</w:t>
      </w:r>
    </w:p>
    <w:p>
      <w:pPr>
        <w:spacing w:lineRule="exact" w:line="600" w:after="0"/>
        <w:ind w:firstLine="420"/>
      </w:pPr>
      <w:r>
        <w:rPr>
          <w:rFonts w:ascii="仿宋_GB2312" w:hAnsi="仿宋_GB2312" w:eastAsia="仿宋_GB2312"/>
          <w:b w:val="0"/>
          <w:sz w:val="32"/>
        </w:rPr>
        <w:t>未来提升价值链位置的关键，在于由“卖原料、卖通用料”转向“卖功能、卖方案”，强化应用开发与技术服务，嵌入下游客户研发链条。这将推动集群由规模领先迈向价值领先，在高端新材料价值链中占据更有利位置，补齐上述环节短板对提升产业链韧性和附加值至关重要，这一结构特征决定了集群在价值链分工中的位势与空间，强化上下游协同是增强产业链整体竞争力的关键所在。</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企业围绕烯烃链条形成清晰的纵向分工。万达石化承担丙烷脱氢制丙烯的源头供给，科鲁尔化学（中石化与万达合资、国有控股）承接丙烯生产丙烯腈，蓝湾新材料以丙烯腈为原料生产聚丙烯酰胺，三者在园区内形成稳定协作关系，围绕产业链薄弱环节精准发力，方能夯实集群发展根基，补齐上述环节短板对提升产业链韧性和附加值至关重要。</w:t>
      </w:r>
    </w:p>
    <w:p>
      <w:pPr>
        <w:spacing w:lineRule="exact" w:line="600" w:after="0"/>
        <w:ind w:firstLine="420"/>
      </w:pPr>
      <w:r>
        <w:rPr>
          <w:rFonts w:ascii="仿宋_GB2312" w:hAnsi="仿宋_GB2312" w:eastAsia="仿宋_GB2312"/>
          <w:b w:val="0"/>
          <w:sz w:val="32"/>
        </w:rPr>
        <w:t>天弘化学、威联化学等企业分别在炼油化工一体化、芳烃（PX）等环节承担专业化分工，与丙烯主链相互支撑，构成“油头化尾、烯烃芳烃耦合”的分工格局。各企业聚焦主业、错位发展，减少了同质化竞争，提升了整体协同效率，这一结构特征决定了集群在价值链分工中的位势与空间，强化上下游协同是增强产业链整体竞争力的关键所在。</w:t>
      </w:r>
    </w:p>
    <w:p>
      <w:pPr>
        <w:spacing w:lineRule="exact" w:line="600" w:after="0"/>
        <w:ind w:firstLine="420"/>
      </w:pPr>
      <w:r>
        <w:rPr>
          <w:rFonts w:ascii="仿宋_GB2312" w:hAnsi="仿宋_GB2312" w:eastAsia="仿宋_GB2312"/>
          <w:b w:val="0"/>
          <w:sz w:val="32"/>
        </w:rPr>
        <w:t>这种以“隔墙供应”为纽带的企业分工模式，使原料在园区内闭环流转，既降低了物流与安全成本，也强化了企业间绑定。分工深化推动了专业化与规模经济，是集群效率优势的重要来源，也为后续补链提供了清晰的节点坐标，围绕产业链薄弱环节精准发力，方能夯实集群发展根基，补齐上述环节短板对提升产业链韧性和附加值至关重要，这一结构特征决定了集群在价值链分工中的位势与空间。</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大型企业为骨干、中小企业配套协同。2023年1—7月烯烃芳烃集群内规上企业23家，实现营业收入905.2亿元，户均规模体量较大，体现出重资产、大装置的典型重化工企业结构特征，规模集中度较高，合理的企业结构是集群抗风险能力和创新活力的重要来源，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从企业层级看，万达石化、威联化学、天弘化学等龙头单体规模庞大，构成集群“压舱石”；一批专精细分领域的中小企业围绕龙头做配套，提供助剂、运维、物流等服务。大中小企业融通发展格局初步显现，但“专精特新”配套企业数量仍待扩充，优化企业主体结构，是提升集群组织化水平的核心抓手，合理的企业结构是集群抗风险能力和创新活力的重要来源。</w:t>
      </w:r>
    </w:p>
    <w:p>
      <w:pPr>
        <w:spacing w:lineRule="exact" w:line="600" w:after="0"/>
        <w:ind w:firstLine="420"/>
      </w:pPr>
      <w:r>
        <w:rPr>
          <w:rFonts w:ascii="仿宋_GB2312" w:hAnsi="仿宋_GB2312" w:eastAsia="仿宋_GB2312"/>
          <w:b w:val="0"/>
          <w:sz w:val="32"/>
        </w:rPr>
        <w:t>据不完全统计，集群内规模以上企业以原料与合成材料生产为主，制品类规上企业相对偏少。优化企业规模结构，需要引育更多中下游制品与专用料规上企业，使大中小企业在链条各环节分布更均衡，增强集群整体稳定性，头部企业的牵引作用仍需在股权与资本层面进一步深化，企业集聚所产生的知识溢出效应正持续转化为发展动能，优化企业主体结构，是提升集群组织化水平的核心抓手。</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多元，国有、民营、合资并存。科鲁尔化学由中石化与万达集团合资组建、国有控股，体现了央企与地方民企的混改协作；威联化学、天弘化学等民营及混合所有制企业活跃，市场化程度较高，投资主体多元，合理的企业结构是集群抗风险能力和创新活力的重要来源，头部企业的牵引作用仍需在股权与资本层面进一步深化，企业集聚所产生的知识溢出效应正持续转化为发展动能。</w:t>
      </w:r>
    </w:p>
    <w:p>
      <w:pPr>
        <w:spacing w:lineRule="exact" w:line="600" w:after="0"/>
        <w:ind w:firstLine="420"/>
      </w:pPr>
      <w:r>
        <w:rPr>
          <w:rFonts w:ascii="仿宋_GB2312" w:hAnsi="仿宋_GB2312" w:eastAsia="仿宋_GB2312"/>
          <w:b w:val="0"/>
          <w:sz w:val="32"/>
        </w:rPr>
        <w:t>国有资本通过中石化等央企渠道，在关键技术装置与产业链关键环节中发挥稳定器作用；民营资本则在装置投资、市场拓展上反应灵活、活力充沛。多种所有制资本同台竞合，为集群注入了差异化的发展动力与风险分散机制，优化企业主体结构，是提升集群组织化水平的核心抓手，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总体看，混合所有制与民营主导并存的产权格局，既保障了关键节点的战略安全，又保持了市场效率。后续可继续通过混合所有制改革、产业链招商，引导各类资本向中下游高附加值环节集聚，优化资本布局结构，企业集聚所产生的知识溢出效应正持续转化为发展动能，优化企业主体结构，是提升集群组织化水平的核心抓手，合理的企业结构是集群抗风险能力和创新活力的重要来源。</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万达石化是集群核心链主之一，拥有45万吨/年丙烷脱氢装置，所产丙烯通过管廊直供科鲁尔化学，并向上游炼油化工一体化延伸，装置规模与一体化水平在区域内领先，对链条稳定供给具有决定性影响，头部企业的牵引作用仍需在股权与资本层面进一步深化，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科鲁尔化学为中石化与万达合资的国有控股企业，建有26万吨/年丙烯腈装置，是连接丙烯与下游聚丙烯酰胺的关键枢纽；蓝湾新材料投资68亿元建设吸水性高分子材料项目，是下游制品环节的重要支撑，三者构成丙烯主链核心三角，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威联化学PX装置、天弘化学炼化装置等共同构成芳烃与原料保障板块。上述头部企业装置规模大、技术成熟、市场渠道稳固，是集群规模与竞争力的根本依托，其扩能升级直接决定集群未来增长空间与链条完整度，企业集聚所产生的知识溢出效应正持续转化为发展动能，优化企业主体结构，是提升集群组织化水平的核心抓手，合理的企业结构是集群抗风险能力和创新活力的重要来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东营港化工产业园内，依托68公里公共管廊与统一公用工程实现原料互供、能源互济，空间集聚度与产业关联度高度耦合，是典型的“化工园区型”产业集群，集聚外部性显著，头部企业的牵引作用仍需在股权与资本层面进一步深化，企业集聚所产生的知识溢出效应正持续转化为发展动能，优化企业主体结构，是提升集群组织化水平的核心抓手。</w:t>
      </w:r>
    </w:p>
    <w:p>
      <w:pPr>
        <w:spacing w:lineRule="exact" w:line="600" w:after="0"/>
        <w:ind w:firstLine="420"/>
      </w:pPr>
      <w:r>
        <w:rPr>
          <w:rFonts w:ascii="仿宋_GB2312" w:hAnsi="仿宋_GB2312" w:eastAsia="仿宋_GB2312"/>
          <w:b w:val="0"/>
          <w:sz w:val="32"/>
        </w:rPr>
        <w:t>企业间以管道而非公路实现物料输送，约70%的产品通过管输直达下游，90%以上在市内循环利用，极大降低了物流成本与安全环境风险。这种基于物理连接的硬集聚，使集群内部交易成本显著低于分散布局，形成难以复制的区位壁垒，合理的企业结构是集群抗风险能力和创新活力的重要来源，头部企业的牵引作用仍需在股权与资本层面进一步深化。</w:t>
      </w:r>
    </w:p>
    <w:p>
      <w:pPr>
        <w:spacing w:lineRule="exact" w:line="600" w:after="0"/>
        <w:ind w:firstLine="420"/>
      </w:pPr>
      <w:r>
        <w:rPr>
          <w:rFonts w:ascii="仿宋_GB2312" w:hAnsi="仿宋_GB2312" w:eastAsia="仿宋_GB2312"/>
          <w:b w:val="0"/>
          <w:sz w:val="32"/>
        </w:rPr>
        <w:t>集聚也带来了环境容量与安全风险约束，对园区治理提出更高要求。总体看，依托港产城一体化与园区硬集聚，集群形成了成本、协同、安全三重优势，企业集聚特征清晰稳定，是重化工集群高质量发展的典型样本，企业集聚所产生的知识溢出效应正持续转化为发展动能，优化企业主体结构，是提升集群组织化水平的核心抓手，合理的企业结构是集群抗风险能力和创新活力的重要来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强度较高，研发投入占地区生产总值比重超过6.4%，高于全国多数化工园区平均水平，反映出园区对技术创新的高度重视与持续投入。高研发强度为工艺优化、新产品开发提供了坚实资金保障，创新能力的稳步提升是集群迈向高端化的核心支撑，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龙头企业是研发投入主力。万达石化研究院等企业内部研发机构围绕丙烷脱氢、丙烯腈及下游材料开展工艺与催化剂攻关，将研发嵌入生产一线。企业自筹为主、政府补助为辅的投入机制逐步成熟，创新内生动力不断增强，以企业为主体、市场为导向的创新体系亟待进一步健全，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据不完全统计，集群研发投入主要流向现有装置节能降耗、产品提质与下游延伸项目，前沿原创布局相对有限。后续应引导研发向功能性新材料、绿色工艺等方向倾斜，提升研发投入的产出效率与战略引领性，持续加大研发投入对突破关键共性技术具有决定性意义，以企业为主体、市场为导向的创新体系亟待进一步健全，创新能力的稳步提升是集群迈向高端化的核心支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较为丰厚，累计拥有发明专利682件，覆盖了丙烷脱氢、丙烯腈合成、聚丙烯酰胺及下游材料等多个技术节点，知识产权积累在省内化工园区中位居前列，为技术壁垒构建与成果转化奠定了基础，平台与转化的协同发力，正不断缩短从研发到产业化的周期，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在中试环节，集群累计突破“卡脖子”中试项目22个，将实验室成果推向产业化验证，有效缩短了新技术从研发到生产的周期。这些中试成果为后续规模化装置建设提供了工艺包与工程经验，是创新链贯通的关键一环，创新能力的稳步提升是集群迈向高端化的核心支撑，平台与转化的协同发力，正不断缩短从研发到产业化的周期，持续加大研发投入对突破关键共性技术具有决定性意义。</w:t>
      </w:r>
    </w:p>
    <w:p>
      <w:pPr>
        <w:spacing w:lineRule="exact" w:line="600" w:after="0"/>
        <w:ind w:firstLine="420"/>
      </w:pPr>
      <w:r>
        <w:rPr>
          <w:rFonts w:ascii="仿宋_GB2312" w:hAnsi="仿宋_GB2312" w:eastAsia="仿宋_GB2312"/>
          <w:b w:val="0"/>
          <w:sz w:val="32"/>
        </w:rPr>
        <w:t>总体看，集群创新产出以工艺改进与产业化验证为主，原始创新与颠覆性成果仍偏少。提升创新产出的质量与引领性，需要强化基础研究与应用研究衔接，推动专利向高价值、标准必要专利升级，以企业为主体、市场为导向的创新体系亟待进一步健全，创新能力的稳步提升是集群迈向高端化的核心支撑，平台与转化的协同发力，正不断缩短从研发到产业化的周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建有化工中试基地、高端石化创新创业共同体等一批创新平台，为中小企业与高校院所提供中试放大、概念验证等公共服务，降低了单一企业的创新门槛，是集群共享型创新基础设施的重要组成，持续加大研发投入对突破关键共性技术具有决定性意义，以企业为主体、市场为导向的创新体系亟待进一步健全，创新能力的稳步提升是集群迈向高端化的核心支撑。</w:t>
      </w:r>
    </w:p>
    <w:p>
      <w:pPr>
        <w:spacing w:lineRule="exact" w:line="600" w:after="0"/>
        <w:ind w:firstLine="420"/>
      </w:pPr>
      <w:r>
        <w:rPr>
          <w:rFonts w:ascii="仿宋_GB2312" w:hAnsi="仿宋_GB2312" w:eastAsia="仿宋_GB2312"/>
          <w:b w:val="0"/>
          <w:sz w:val="32"/>
        </w:rPr>
        <w:t>万达石化研究院等企业研发平台与园区公共平台互为补充，形成了“企业主体+公共平台”的双层创新体系。高端石化创新创业共同体整合产业链上下游创新资源，促进协同攻关与成果共享，提升了创新资源配置效率，平台与转化的协同发力，正不断缩短从研发到产业化的周期，持续加大研发投入对突破关键共性技术具有决定性意义，以企业为主体、市场为导向的创新体系亟待进一步健全。</w:t>
      </w:r>
    </w:p>
    <w:p>
      <w:pPr>
        <w:spacing w:lineRule="exact" w:line="600" w:after="0"/>
        <w:ind w:firstLine="420"/>
      </w:pPr>
      <w:r>
        <w:rPr>
          <w:rFonts w:ascii="仿宋_GB2312" w:hAnsi="仿宋_GB2312" w:eastAsia="仿宋_GB2312"/>
          <w:b w:val="0"/>
          <w:sz w:val="32"/>
        </w:rPr>
        <w:t>平台体系建设仍需向更高能级迈进。可依托现有基础争创国家级创新平台与制造业创新中心，强化与科研院所深度合作，使创新平台由“中试验证”向“源头创制”延伸，为集群长期竞争力提供制度与技术双重支撑，创新能力的稳步提升是集群迈向高端化的核心支撑，平台与转化的协同发力，正不断缩短从研发到产业化的周期，持续加大研发投入对突破关键共性技术具有决定性意义。</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中试基地为核心通道，打通了“实验室—中试—产业化”链条。22个“卡脖子”中试项目的突破，意味着多项关键技术已完成工程化验证，具备放大建设条件，转化效率在重化工领域表现突出，以企业为主体、市场为导向的创新体系亟待进一步健全，创新能力的稳步提升是集群迈向高端化的核心支撑，平台与转化的协同发力，正不断缩短从研发到产业化的周期。</w:t>
      </w:r>
    </w:p>
    <w:p>
      <w:pPr>
        <w:spacing w:lineRule="exact" w:line="600" w:after="0"/>
        <w:ind w:firstLine="420"/>
      </w:pPr>
      <w:r>
        <w:rPr>
          <w:rFonts w:ascii="仿宋_GB2312" w:hAnsi="仿宋_GB2312" w:eastAsia="仿宋_GB2312"/>
          <w:b w:val="0"/>
          <w:sz w:val="32"/>
        </w:rPr>
        <w:t>龙头企业将中试成果直接导入自有装置改造与新建项目，缩短了转化周期、降低了失败风险。公共中试基地则面向中小企业开放，弥补其自建中试能力不足的短板，促进了创新成果的园区内扩散与共享，持续加大研发投入对突破关键共性技术具有决定性意义，以企业为主体、市场为导向的创新体系亟待进一步健全，创新能力的稳步提升是集群迈向高端化的核心支撑。</w:t>
      </w:r>
    </w:p>
    <w:p>
      <w:pPr>
        <w:spacing w:lineRule="exact" w:line="600" w:after="0"/>
        <w:ind w:firstLine="420"/>
      </w:pPr>
      <w:r>
        <w:rPr>
          <w:rFonts w:ascii="仿宋_GB2312" w:hAnsi="仿宋_GB2312" w:eastAsia="仿宋_GB2312"/>
          <w:b w:val="0"/>
          <w:sz w:val="32"/>
        </w:rPr>
        <w:t>总体看，集群技术转化机制较为顺畅，但仍存在成果本地产业化率不均衡的问题。需完善中试—招商—产业化衔接政策，推动更多中试成功项目在本地落地为规上产能，把创新优势更充分地转化为产业优势，平台与转化的协同发力，正不断缩短从研发到产业化的周期，持续加大研发投入对突破关键共性技术具有决定性意义，以企业为主体、市场为导向的创新体系亟待进一步健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东营港经济开发区产业工人队伍规模稳定，依托东营市石化产业长期积累，拥有一批熟悉炼化与高分子材料生产的技能型劳动力，能够满足大装置稳定运营的人力需求，人力资源基础较为扎实，要素供给的协同优化是支撑集群规模化扩张的前提条件，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随集群向新材料、专用化学品升级，对研发、工艺、安全环保等复合型技术人才需求上升。当前高端研发人才与国际化经营人才仍相对紧缺，企业多通过校企合作、外部引进补充，人才结构正由“技能型”向“技能+技术型”演进，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据不完全统计，集群劳动力成本在环渤海化工园区中具有比较优势，但人才吸引力受区位与生活配套制约。后续需完善人才住房、子女教育等配套，强化与驻鲁高校联合培养，夯实转型升级的人力资本基础，发挥要素禀赋优势、弥补要素短板，是下一步工作的着力点，劳动力与资本等要素的组合效率，直接影响集群运行质量，统筹土地、能耗与原料保障，方能为集群跃升留出空间。</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密集特征显著，龙头项目单体投资多在数十亿至上百亿元，资本形成能力强。国有资本、民营资本与银行信贷共同构成资金来源，重大装置建设得到多渠道融资支持，投资强度在省内位居前列，要素供给的协同优化是支撑集群规模化扩张的前提条件，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园区通过产业链招商持续引入社会资本，临港高端化工集群入选山东省先进制造业集群，增强了资本集聚与政策资源导入能力。企业自筹、股权融资与项目贷款组合运用，保障了重资产扩张的资金链条稳定，统筹土地、能耗与原料保障，方能为集群跃升留出空间，要素供给的协同优化是支撑集群规模化扩张的前提条件，发挥要素禀赋优势、弥补要素短板，是下一步工作的着力点。</w:t>
      </w:r>
    </w:p>
    <w:p>
      <w:pPr>
        <w:spacing w:lineRule="exact" w:line="600" w:after="0"/>
        <w:ind w:firstLine="420"/>
      </w:pPr>
      <w:r>
        <w:rPr>
          <w:rFonts w:ascii="仿宋_GB2312" w:hAnsi="仿宋_GB2312" w:eastAsia="仿宋_GB2312"/>
          <w:b w:val="0"/>
          <w:sz w:val="32"/>
        </w:rPr>
        <w:t>总体看，集群资本供给总体充裕，但中小配套企业融资可得性相对偏弱。需发挥政府产业基金引导作用，完善科技金融与供应链金融服务，引导资本更多流向中下游“专精特新”与绿色技改项目，优化资本配置效率，劳动力与资本等要素的组合效率，直接影响集群运行质量，统筹土地、能耗与原料保障，方能为集群跃升留出空间，要素供给的协同优化是支撑集群规模化扩张的前提条件。</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依托东营港化工产业园集中布局，土地集约利用程度高，装置与管廊一体化布置，单位土地产值在重化工园区中表现较好。园区统一规划减少了零散用地，提升了土地要素的整体产出效率，发挥要素禀赋优势、弥补要素短板，是下一步工作的着力点，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作为高耗能产业，集群能耗与碳排放约束趋紧。园区通过68公里管廊、集中供热与能源互济提升能效，并获评全国首批、省内唯一“低碳化工园区”，在能耗双控背景下具备了一定先发优势与合规空间，要素供给的协同优化是支撑集群规模化扩张的前提条件，发挥要素禀赋优势、弥补要素短板，是下一步工作的着力点，劳动力与资本等要素的组合效率，直接影响集群运行质量。</w:t>
      </w:r>
    </w:p>
    <w:p>
      <w:pPr>
        <w:spacing w:lineRule="exact" w:line="600" w:after="0"/>
        <w:ind w:firstLine="420"/>
      </w:pPr>
      <w:r>
        <w:rPr>
          <w:rFonts w:ascii="仿宋_GB2312" w:hAnsi="仿宋_GB2312" w:eastAsia="仿宋_GB2312"/>
          <w:b w:val="0"/>
          <w:sz w:val="32"/>
        </w:rPr>
        <w:t>展望未来，新增产能将面临更严格的能耗与碳约束。集群需在存量装置节能改造、绿电替代、碳捕集利用等方面持续发力，以更低的能耗强度支撑规模扩张，把低碳园区品牌转化为可持续的要素竞争力，统筹土地、能耗与原料保障，方能为集群跃升留出空间，要素供给的协同优化是支撑集群规模化扩张的前提条件，发挥要素禀赋优势、弥补要素短板，是下一步工作的着力点。</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保障依托东营市油气资源与港口进口双通道。一方面，东营原油炼化基础雄厚，可为烯烃及芳烃提供石脑油等原料；另一方面，东营港具备进口丙烷、液化气等原料的接卸能力，支撑丙烷脱氢等装置稳定运行，劳动力与资本等要素的组合效率，直接影响集群运行质量，统筹土地、能耗与原料保障，方能为集群跃升留出空间，要素供给的协同优化是支撑集群规模化扩张的前提条件。</w:t>
      </w:r>
    </w:p>
    <w:p>
      <w:pPr>
        <w:spacing w:lineRule="exact" w:line="600" w:after="0"/>
        <w:ind w:firstLine="420"/>
      </w:pPr>
      <w:r>
        <w:rPr>
          <w:rFonts w:ascii="仿宋_GB2312" w:hAnsi="仿宋_GB2312" w:eastAsia="仿宋_GB2312"/>
          <w:b w:val="0"/>
          <w:sz w:val="32"/>
        </w:rPr>
        <w:t>丙烷脱氢制丙烯路线的原料丙烷高度依赖进口与区外调运，原料对外依存度较高，是国际油气价格波动的直接承受端。保障原料多元稳定供应、拓展国内气源与长约协议，是降低供应链风险的关键举措，发挥要素禀赋优势、弥补要素短板，是下一步工作的着力点，劳动力与资本等要素的组合效率，直接影响集群运行质量，统筹土地、能耗与原料保障，方能为集群跃升留出空间。</w:t>
      </w:r>
    </w:p>
    <w:p>
      <w:pPr>
        <w:spacing w:lineRule="exact" w:line="600" w:after="0"/>
        <w:ind w:firstLine="420"/>
      </w:pPr>
      <w:r>
        <w:rPr>
          <w:rFonts w:ascii="仿宋_GB2312" w:hAnsi="仿宋_GB2312" w:eastAsia="仿宋_GB2312"/>
          <w:b w:val="0"/>
          <w:sz w:val="32"/>
        </w:rPr>
        <w:t>总体看，集群原料“本地油气+港口进口”的组合具备一定韧性，但关键单体原料外部依赖度仍偏高。需强化港口储运与战略储备能力，推动原料来源多元化，筑牢产业链供应链安全的资源底座，要素供给的协同优化是支撑集群规模化扩张的前提条件，发挥要素禀赋优势、弥补要素短板，是下一步工作的着力点，劳动力与资本等要素的组合效率，直接影响集群运行质量。</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销售为主。高吸水性树脂、聚丙烯酰胺等广泛应用于水处理、个人护理、农业保水、油田开采等领域，下游需求与国内基建、环保、日化等产业高度关联，国内市场空间广阔、需求韧性较强，市场结构的优化有助于降低对单一需求的依赖度，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丙烯、丙烯腈等基础单体主要供应园区内及国内下游企业，依托“隔墙供应”与区域半径形成稳定客户群。部分产品在华北、华东市场占有较高份额，区域内市场黏性强，销售半径经济合理，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总体看，集群在国内市场具备规模与成本优势，但产品同质化使价格竞争加剧。需加强应用开发与差异化供给，深耕细分场景、绑定重点客户，以技术与服务提升国内市场份额的稳定性与盈利质量，顺应需求端变化、加快产品升级，是巩固市场地位的现实要求，内外市场协同开拓，将为集群增长打开更为广阔的空间，市场结构的优化有助于降低对单一需求的依赖度。</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部分大宗合成材料与制品具备出口能力，依托东营港海运条件辐射东北亚及海外市场。高吸水性树脂、聚丙烯酰胺等在全球产能领先，为出口参与国际竞争提供了产能与成本基础，外需是规模平衡的重要调节变量，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出口结构以中间材料与通用制品为主，高技术、高壁垒专用材料出口比重有限。国际石化景气波动、贸易政策与海运成本变化，均会影响出口节奏与利润，外向度风险需持续关注并动态管理，内外市场协同开拓，将为集群增长打开更为广阔的空间，市场结构的优化有助于降低对单一需求的依赖度，外向度的提升对增强集群抗风险能力和品牌影响具有积极作用。</w:t>
      </w:r>
    </w:p>
    <w:p>
      <w:pPr>
        <w:spacing w:lineRule="exact" w:line="600" w:after="0"/>
        <w:ind w:firstLine="420"/>
      </w:pPr>
      <w:r>
        <w:rPr>
          <w:rFonts w:ascii="仿宋_GB2312" w:hAnsi="仿宋_GB2312" w:eastAsia="仿宋_GB2312"/>
          <w:b w:val="0"/>
          <w:sz w:val="32"/>
        </w:rPr>
        <w:t>据不完全统计，集群出口占产销比重相对适中，尚未形成对单一海外市场的过度依赖。后续可在稳住传统市场的同时，拓展“一带一路”沿线与高端应用市场，提升出口产品的附加值与抗风险能力，顺应需求端变化、加快产品升级，是巩固市场地位的现实要求，内外市场协同开拓，将为集群增长打开更为广阔的空间，市场结构的优化有助于降低对单一需求的依赖度。</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整体以“国家级特色产业集群”与“低碳化工园区”为区域品牌标识，区域公用品牌影响力逐步提升。但企业层面具有国际辨识度的终端产品品牌偏少，多数以原料供应商身份参与市场，品牌溢价能力有限，外向度的提升对增强集群抗风险能力和品牌影响具有积极作用，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龙头企业正通过装置规模、质量稳定性与客户认证积累商誉，部分产品在细分领域形成隐性品牌优势。相较之下，面向终端消费者的制品品牌建设滞后，制约了价值向消费端延伸与利润空间拓展，市场结构的优化有助于降低对单一需求的依赖度，外向度的提升对增强集群抗风险能力和品牌影响具有积极作用，顺应需求端变化、加快产品升级，是巩固市场地位的现实要求。</w:t>
      </w:r>
    </w:p>
    <w:p>
      <w:pPr>
        <w:spacing w:lineRule="exact" w:line="600" w:after="0"/>
        <w:ind w:firstLine="420"/>
      </w:pPr>
      <w:r>
        <w:rPr>
          <w:rFonts w:ascii="仿宋_GB2312" w:hAnsi="仿宋_GB2312" w:eastAsia="仿宋_GB2312"/>
          <w:b w:val="0"/>
          <w:sz w:val="32"/>
        </w:rPr>
        <w:t>总体看，集群品牌建设处于“区域品牌强、企业品牌弱”的阶段。应实施区域公用品牌与企业产品品牌双轮驱动，支持企业开展高端认证与标准制定，把产能优势转化为品牌资产，提升长期定价能力，内外市场协同开拓，将为集群增长打开更为广阔的空间，市场结构的优化有助于降低对单一需求的依赖度，外向度的提升对增强集群抗风险能力和品牌影响具有积极作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性分化。传统大宗应用领域需求增速放缓，而水处理、新能源电池材料、可降解与功能性高分子等新兴领域需求快速增长，对集群产品结构与升级方向提出新要求，需求拉动力正在发生位移，顺应需求端变化、加快产品升级，是巩固市场地位的现实要求，内外市场协同开拓，将为集群增长打开更为广阔的空间，市场结构的优化有助于降低对单一需求的依赖度。</w:t>
      </w:r>
    </w:p>
    <w:p>
      <w:pPr>
        <w:spacing w:lineRule="exact" w:line="600" w:after="0"/>
        <w:ind w:firstLine="420"/>
      </w:pPr>
      <w:r>
        <w:rPr>
          <w:rFonts w:ascii="仿宋_GB2312" w:hAnsi="仿宋_GB2312" w:eastAsia="仿宋_GB2312"/>
          <w:b w:val="0"/>
          <w:sz w:val="32"/>
        </w:rPr>
        <w:t>下游客户对产品纯度、功能化、定制化要求不断提高，由“买通用料”转向“买解决方案”，倒逼集群企业强化应用研发与技术服务能力。需求端升级与供给端转型的适配程度，将决定集群未来增长质量，外向度的提升对增强集群抗风险能力和品牌影响具有积极作用，顺应需求端变化、加快产品升级，是巩固市场地位的现实要求，内外市场协同开拓，将为集群增长打开更为广阔的空间。</w:t>
      </w:r>
    </w:p>
    <w:p>
      <w:pPr>
        <w:spacing w:lineRule="exact" w:line="600" w:after="0"/>
        <w:ind w:firstLine="420"/>
      </w:pPr>
      <w:r>
        <w:rPr>
          <w:rFonts w:ascii="仿宋_GB2312" w:hAnsi="仿宋_GB2312" w:eastAsia="仿宋_GB2312"/>
          <w:b w:val="0"/>
          <w:sz w:val="32"/>
        </w:rPr>
        <w:t>总体看，需求端变化既带来传统产能过剩压力，也蕴藏高附加值转型机遇。集群需敏锐捕捉新兴应用风口，前瞻布局专用料与功能材料产能，以需求牵引供给升级，实现供需在更高层次的动态平衡，市场结构的优化有助于降低对单一需求的依赖度，外向度的提升对增强集群抗风险能力和品牌影响具有积极作用，顺应需求端变化、加快产品升级，是巩固市场地位的现实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烯烃及新材料集群竞争加剧，沿海大型石化基地与内陆煤制烯烃基地均在扩张产能，行业总体趋向供给宽松。集群需在规模之外，以链条完整度、低碳园区与港口物流构筑差异化竞争优势，避免陷入同质化价格战，客观研判竞争格局与风险，是集群行稳致远的必要前提，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与国内先进烯烃基地相比，集群在下游高端制品、原创技术上仍有差距；与煤基烯烃相比，油基路线的成本随油价波动而起伏。区域竞争的核心，日益转向绿色化、高端化与产业链控制力的综合比拼，清醒认识短板与风险，有利于在发展中更好地稳中求进，客观研判竞争格局与风险，是集群行稳致远的必要前提，统筹应对内外部挑战，关乎集群长期发展的稳定性与可持续性。</w:t>
      </w:r>
    </w:p>
    <w:p>
      <w:pPr>
        <w:spacing w:lineRule="exact" w:line="600" w:after="0"/>
        <w:ind w:firstLine="420"/>
      </w:pPr>
      <w:r>
        <w:rPr>
          <w:rFonts w:ascii="仿宋_GB2312" w:hAnsi="仿宋_GB2312" w:eastAsia="仿宋_GB2312"/>
          <w:b w:val="0"/>
          <w:sz w:val="32"/>
        </w:rPr>
        <w:t>总体看，集群凭借丙烯主链全球第一产能与低碳园区先发优势，在区域竞争中具备特色身位。但优势并非永久，需以持续创新与链条延伸巩固地位，在环渤海乃至全国烯烃格局中保持战略主动性，上述竞争与风险因素需要在政策层面予以系统性回应，清醒认识短板与风险，有利于在发展中更好地稳中求进，客观研判竞争格局与风险，是集群行稳致远的必要前提。</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结构性问题突出：下游制品与关键配套偏弱，链条“头重脚轻”；原创技术与高端人才不足，创新以改进型为主；中小企业“专精特新”数量有限，大中小企业融通深度不够，内部协同红利尚未充分释放，统筹应对内外部挑战，关乎集群长期发展的稳定性与可持续性，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环境容量与能耗约束趋紧，存量装置节能降碳压力加大，部分老旧装置能效偏低，绿色转型任务较重。园区安全环保治理成本高企，对公共配套与管理能力提出持续挑战，内部集约发展面临硬约束，客观研判竞争格局与风险，是集群行稳致远的必要前提，统筹应对内外部挑战，关乎集群长期发展的稳定性与可持续性，上述竞争与风险因素需要在政策层面予以系统性回应。</w:t>
      </w:r>
    </w:p>
    <w:p>
      <w:pPr>
        <w:spacing w:lineRule="exact" w:line="600" w:after="0"/>
        <w:ind w:firstLine="420"/>
      </w:pPr>
      <w:r>
        <w:rPr>
          <w:rFonts w:ascii="仿宋_GB2312" w:hAnsi="仿宋_GB2312" w:eastAsia="仿宋_GB2312"/>
          <w:b w:val="0"/>
          <w:sz w:val="32"/>
        </w:rPr>
        <w:t>此外，产品同质化与品牌弱势使盈利波动较大，价值留存本地不足。这些问题相互交织，需在补链、强链、延链与要素保障上系统施策，方能从根本上提升集群内生质量与抗风险能力，清醒认识短板与风险，有利于在发展中更好地稳中求进，客观研判竞争格局与风险，是集群行稳致远的必要前提，统筹应对内外部挑战，关乎集群长期发展的稳定性与可持续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国际油气价格波动与石化景气周期。丙烷等原料对外依存度高，价格大幅波动将直接冲击装置盈利；全球石化产能扩张可能导致部分产品供需失衡、利润收窄，外部周期性风险不容忽视，上述竞争与风险因素需要在政策层面予以系统性回应，清醒认识短板与风险，有利于在发展中更好地稳中求进，客观研判竞争格局与风险，是集群行稳致远的必要前提。</w:t>
      </w:r>
    </w:p>
    <w:p>
      <w:pPr>
        <w:spacing w:lineRule="exact" w:line="600" w:after="0"/>
        <w:ind w:firstLine="420"/>
      </w:pPr>
      <w:r>
        <w:rPr>
          <w:rFonts w:ascii="仿宋_GB2312" w:hAnsi="仿宋_GB2312" w:eastAsia="仿宋_GB2312"/>
          <w:b w:val="0"/>
          <w:sz w:val="32"/>
        </w:rPr>
        <w:t>碳约束与绿色贸易壁垒趋严，欧盟碳边境调节机制等可能影响出口竞争力，低碳转型从自愿走向合规硬约束。贸易摩擦、海运不确定性亦构成外向度风险，需建立动态预警与应对机制，统筹应对内外部挑战，关乎集群长期发展的稳定性与可持续性，上述竞争与风险因素需要在政策层面予以系统性回应，清醒认识短板与风险，有利于在发展中更好地稳中求进。</w:t>
      </w:r>
    </w:p>
    <w:p>
      <w:pPr>
        <w:spacing w:lineRule="exact" w:line="600" w:after="0"/>
        <w:ind w:firstLine="420"/>
      </w:pPr>
      <w:r>
        <w:rPr>
          <w:rFonts w:ascii="仿宋_GB2312" w:hAnsi="仿宋_GB2312" w:eastAsia="仿宋_GB2312"/>
          <w:b w:val="0"/>
          <w:sz w:val="32"/>
        </w:rPr>
        <w:t>总体看，集群面临的外部风险兼具周期性与结构性。需以原料多元化、产品高端化、运营低碳化对冲波动，并强化供应链安全与合规管理，在不确定性中守住底线、把握转型主动权，客观研判竞争格局与风险，是集群行稳致远的必要前提，统筹应对内外部挑战，关乎集群长期发展的稳定性与可持续性，上述竞争与风险因素需要在政策层面予以系统性回应。</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威联化学PX项目列入国家《石化产业规划布局方案》，为集群芳烃方向提供了顶层合规支撑；国家级中小企业特色产业集群的认定，使集群在专精特新政策支持、公共服务上获得国家层面背书与资源导入，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山东省将临港高端化工集群纳入先进制造业集群培育，烯烃芳烃集群获评“山东省支柱型雁阵集群”，在省级政策、资金与要素指标上获得倾斜。顶层政策叠加，为集群壮大营造了有利的制度环境，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总体看，集群享受国家石化布局与省级雁阵集群双重政策红利，政策位势较高。用好用足顶层政策，争取更多国家级试点与项目列入，是放大政策效应的关键，也为后续招商与扩能提供合规空间，各类扶持举措的协同落地，正不断转化为企业可感可及的发展红利，健全公共服务与协会功能，是提升治理效能的重要抓手，上下贯通的政策体系，增强了集群应对外部冲击的韧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层面，东营港经济开发区委托石油和化学工业规划院编制《东营港化工产业园总体发展规划》《产业发展规划》，并委托中国化工经济技术发展中心编制《低碳发展规划》，以高水平规划引领集群有序发展，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河口区及东营市围绕项目建设、技改升级、绿色低碳出台系列扶持举措，在用地、能耗、环评等要素保障上向重点产业链项目倾斜，对链主企业扩能与中小企业配套给予支持，营商环境持续优化，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据不完全统计，地方扶持政策以项目落地与链条延伸为导向，兑现效率较高。后续可细化对中下游“专精特新”、绿色工艺的专项支持，提升政策精准度，使地方扶持更紧密对接集群短板补强需求，各类扶持举措的协同落地，正不断转化为企业可感可及的发展红利，健全公共服务与协会功能，是提升治理效能的重要抓手，上下贯通的政策体系，增强了集群应对外部冲击的韧性。</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公共配套完善，建成68公里公共管廊实现企业间物料高效互供，统一供水、供电、供热、污水处理与危废处置等公用工程降低企业运营成本，是集群硬环境优势的核心构成，显著提升了入园企业效率与安全感，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港口码头、储运与应急救援体系配套齐全，支撑原料进口与产品出运，并强化安全风险防控。公共配套由园区统筹建设与运营，企业“轻装上阵”，避免了重复投资，体现了化工园区型集群的集约治理优势，健全公共服务与协会功能，是提升治理效能的重要抓手，上下贯通的政策体系，增强了集群应对外部冲击的韧性，政策与营商环境的持续优化，为集群高质量发展提供了制度保障。</w:t>
      </w:r>
    </w:p>
    <w:p>
      <w:pPr>
        <w:spacing w:lineRule="exact" w:line="600" w:after="0"/>
        <w:ind w:firstLine="420"/>
      </w:pPr>
      <w:r>
        <w:rPr>
          <w:rFonts w:ascii="仿宋_GB2312" w:hAnsi="仿宋_GB2312" w:eastAsia="仿宋_GB2312"/>
          <w:b w:val="0"/>
          <w:sz w:val="32"/>
        </w:rPr>
        <w:t>总体看，集群公共配套在省内乃至国内处于先进水平，是吸引项目落地的关键筹码。需持续迭代智慧园区、安全环保与低碳基础设施，以更高标准公共配套支撑集群向高端化、绿色化迈进，各类扶持举措的协同落地，正不断转化为企业可感可及的发展红利，健全公共服务与协会功能，是提升治理效能的重要抓手，上下贯通的政策体系，增强了集群应对外部冲击的韧性。</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中发挥桥梁作用，组织上下游对接、技术交流与标准研讨，促进企业间信息共享与协同。高端石化创新创业共同体等平台兼具行业组织功能，推动联合攻关与成果转化，政策与营商环境的持续优化，为集群高质量发展提供了制度保障，各类扶持举措的协同落地，正不断转化为企业可感可及的发展红利，健全公共服务与协会功能，是提升治理效能的重要抓手。</w:t>
      </w:r>
    </w:p>
    <w:p>
      <w:pPr>
        <w:spacing w:lineRule="exact" w:line="600" w:after="0"/>
        <w:ind w:firstLine="420"/>
      </w:pPr>
      <w:r>
        <w:rPr>
          <w:rFonts w:ascii="仿宋_GB2312" w:hAnsi="仿宋_GB2312" w:eastAsia="仿宋_GB2312"/>
          <w:b w:val="0"/>
          <w:sz w:val="32"/>
        </w:rPr>
        <w:t>在安全生产、节能环保、行业自律等方面，协会协助落实规范要求、推广最佳实践，提升了集群整体治理水平。部分行业协会还参与招商推介与区域品牌塑造，扩大了集群外部影响力，上下贯通的政策体系，增强了集群应对外部冲击的韧性，政策与营商环境的持续优化，为集群高质量发展提供了制度保障，各类扶持举措的协同落地，正不断转化为企业可感可及的发展红利。</w:t>
      </w:r>
    </w:p>
    <w:p>
      <w:pPr>
        <w:spacing w:lineRule="exact" w:line="600" w:after="0"/>
        <w:ind w:firstLine="420"/>
      </w:pPr>
      <w:r>
        <w:rPr>
          <w:rFonts w:ascii="仿宋_GB2312" w:hAnsi="仿宋_GB2312" w:eastAsia="仿宋_GB2312"/>
          <w:b w:val="0"/>
          <w:sz w:val="32"/>
        </w:rPr>
        <w:t>总体看，集群行业组织体系初具雏形，但在代表企业参与政策制定、组织联合创新方面的深度仍待加强。应更好发挥协会在补链招商、标准制定、人才培养中的纽带作用，使其成为政府与市场间的有效中介，健全公共服务与协会功能，是提升治理效能的重要抓手，上下贯通的政策体系，增强了集群应对外部冲击的韧性，政策与营商环境的持续优化，为集群高质量发展提供了制度保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2023年全区工业产值突破2000亿元，烯烃芳烃主导产业贡献突出，1—7月23家规上企业营收905.2亿元，丙烯产业链年产值超600亿元，成为河口区及东营市工业经济的核心支柱与增长引擎，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高吸水性树脂、聚丙烯酰胺等13种产品产能全球第一，规模经济带来成本优势与税收贡献，对地方财政收入与产业投资形成强支撑。集群以较少企业数贡献了极高产值，经济密度与投入产出效率在区域内领先，上述效应外溢，对周边区域协同发展形成了良好示范，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总体看，集群经济效应以规模与集聚红利为主，但价值留存与高端贡献仍有提升空间。把规模优势转化为质量优势、把产值转化为更高附加值的增加值，是夯实经济效应的下一步重点方向，经济、就业与社会效应的叠加，增强了县域发展的内生动力，上述效应外溢，对周边区域协同发展形成了良好示范，综合效应的持续释放，彰显了特色产业集群的富民强县价值。</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作为重化工产业基地，直接吸纳大量产业工人与工程技术人才就业，并带动港口物流、工程建设、运维服务、安全环保等关联岗位，就业带动系数较高，对稳定区域就业起到重要支撑作用，发展成效的多维显现，印证了集群化发展道路的正确性与有效性，经济、就业与社会效应的叠加，增强了县域发展的内生动力，上述效应外溢，对周边区域协同发展形成了良好示范。</w:t>
      </w:r>
    </w:p>
    <w:p>
      <w:pPr>
        <w:spacing w:lineRule="exact" w:line="600" w:after="0"/>
        <w:ind w:firstLine="420"/>
      </w:pPr>
      <w:r>
        <w:rPr>
          <w:rFonts w:ascii="仿宋_GB2312" w:hAnsi="仿宋_GB2312" w:eastAsia="仿宋_GB2312"/>
          <w:b w:val="0"/>
          <w:sz w:val="32"/>
        </w:rPr>
        <w:t>随着装置智能化改造与新材料项目投产，就业结构向技能型、技术型岗位升级，对高素质劳动力需求上升，促进了本地劳动力技能提升与收入改善。配套中小企业也创造了大量灵活性就业岗位，综合效应的持续释放，彰显了特色产业集群的富民强县价值，发展成效的多维显现，印证了集群化发展道路的正确性与有效性，经济、就业与社会效应的叠加，增强了县域发展的内生动力。</w:t>
      </w:r>
    </w:p>
    <w:p>
      <w:pPr>
        <w:spacing w:lineRule="exact" w:line="600" w:after="0"/>
        <w:ind w:firstLine="420"/>
      </w:pPr>
      <w:r>
        <w:rPr>
          <w:rFonts w:ascii="仿宋_GB2312" w:hAnsi="仿宋_GB2312" w:eastAsia="仿宋_GB2312"/>
          <w:b w:val="0"/>
          <w:sz w:val="32"/>
        </w:rPr>
        <w:t>据不完全统计，集群就业以本地及周边劳动力为主，对城镇化与人口集聚形成正向拉动。需同步完善生活性服务配套，提升人才留存率，使就业效应由“数量型”向“质量型”转变，增强区域人口吸引力，上述效应外溢，对周边区域协同发展形成了良好示范，综合效应的持续释放，彰显了特色产业集群的富民强县价值，发展成效的多维显现，印证了集群化发展道路的正确性与有效性。</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与区域两个层面。链主企业的原料“隔墙供应”带动下游企业集聚，公共管廊与公用工程降低全域企业成本，技术外溢与人才流动促进配套企业能力提升，形成明显的产业协同溢出，经济、就业与社会效应的叠加，增强了县域发展的内生动力，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在区域层面，集群壮大拉动东营港临港产业、港口物流与现代服务业发展，推动港产城融合，并对周边县区形成产业辐射与配套转移。低碳园区品牌亦提升了区域招商引力与绿色形象，产生正向外部性，发展成效的多维显现，印证了集群化发展道路的正确性与有效性，经济、就业与社会效应的叠加，增强了县域发展的内生动力，上述效应外溢，对周边区域协同发展形成了良好示范。</w:t>
      </w:r>
    </w:p>
    <w:p>
      <w:pPr>
        <w:spacing w:lineRule="exact" w:line="600" w:after="0"/>
        <w:ind w:firstLine="420"/>
      </w:pPr>
      <w:r>
        <w:rPr>
          <w:rFonts w:ascii="仿宋_GB2312" w:hAnsi="仿宋_GB2312" w:eastAsia="仿宋_GB2312"/>
          <w:b w:val="0"/>
          <w:sz w:val="32"/>
        </w:rPr>
        <w:t>总体看，集群溢出效应以成本节约与协同为主，向创新与品牌层面的高端溢出仍不充分。强化创新平台开放共享与区域协同招商，可放大溢出红利，使集群更好带动全域产业能级跃升，综合效应的持续释放，彰显了特色产业集群的富民强县价值，发展成效的多维显现，印证了集群化发展道路的正确性与有效性，经济、就业与社会效应的叠加，增强了县域发展的内生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动河口区基础设施与公共服务改善，港口、道路、能源等硬件升级惠及驻地企业与居民。产业繁荣增加了地方财力，为教育、医疗、社保等民生支出提供支撑，社会效应间接而深远，上述效应外溢，对周边区域协同发展形成了良好示范，综合效应的持续释放，彰显了特色产业集群的富民强县价值，发展成效的多维显现，印证了集群化发展道路的正确性与有效性。</w:t>
      </w:r>
    </w:p>
    <w:p>
      <w:pPr>
        <w:spacing w:lineRule="exact" w:line="600" w:after="0"/>
        <w:ind w:firstLine="420"/>
      </w:pPr>
      <w:r>
        <w:rPr>
          <w:rFonts w:ascii="仿宋_GB2312" w:hAnsi="仿宋_GB2312" w:eastAsia="仿宋_GB2312"/>
          <w:b w:val="0"/>
          <w:sz w:val="32"/>
        </w:rPr>
        <w:t>与此同时，重化工属性带来安全环保社会关切，园区通过低碳园区建设、严密监管与信息公开回应社会期待，努力降低负外部性。政企社多方在安全环保上的共识，是集群可持续发展的社会基础，经济、就业与社会效应的叠加，增强了县域发展的内生动力，上述效应外溢，对周边区域协同发展形成了良好示范，综合效应的持续释放，彰显了特色产业集群的富民强县价值。</w:t>
      </w:r>
    </w:p>
    <w:p>
      <w:pPr>
        <w:spacing w:lineRule="exact" w:line="600" w:after="0"/>
        <w:ind w:firstLine="420"/>
      </w:pPr>
      <w:r>
        <w:rPr>
          <w:rFonts w:ascii="仿宋_GB2312" w:hAnsi="仿宋_GB2312" w:eastAsia="仿宋_GB2312"/>
          <w:b w:val="0"/>
          <w:sz w:val="32"/>
        </w:rPr>
        <w:t>总体看，集群社会效应总体正向，但环境风险的社会敏感性要求更高治理透明度。坚持绿色发展、强化社会责任沟通，方能实现经济效益与社会效益统一，赢得持久的社会认同与包容发展空间，发展成效的多维显现，印证了集群化发展道路的正确性与有效性，经济、就业与社会效应的叠加，增强了县域发展的内生动力，上述效应外溢，对周边区域协同发展形成了良好示范。</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现存问题可归纳为四方面：一是链条下游制品与关键配套偏弱，价值留存不足；二是原创技术与高端人才短缺，创新以改进型为主；三是产品同质化、品牌弱势导致盈利波动；四是能耗碳约束下绿色转型任务重，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上述问题根源在于长期以规模扩张为主的发展路径，使结构优化、创新驱动与品牌建设相对滞后。问题相互关联，单点突破难以奏效，需在产业链、创新链、要素链、政策链上系统协同、整体推进，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客观看，集群家底厚实、位势较高，问题更多是“成长中的烦恼”与“转型中的阵痛”。只要方向明确、举措得力，完全有条件由规模领先迈向质量领先，把国家级集群的金字招牌转化为持久竞争力，各项对策的落实，有赖于政府、企业与社会各方的协同发力，系统施策将推动集群由规模领先加快迈向价值与质量领先，坚持问题导向与目标导向相结合，方能把蓝图转化为实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性能催化剂、关键助剂与专用树脂等配套短板，提升本地配套率，降低对外依赖。强链方面，巩固丙烯主链全球第一产能优势，提升装置能效与产品纯度，筑牢核心环节竞争力，上述路径方向相互支撑，需一体推进、系统集成、久久为功，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延链方面，向高吸水性树脂高端牌号、功能性高分子、新能源与电子化学品等下游制品延伸，提高终端应用比重。推动“基础原料—合成改性—制品应用”全线贯通，由卖原料向卖功能、卖方案升级，坚持问题导向与目标导向相结合，方能把蓝图转化为实效，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建议围绕链条节点绘制招商图谱，按图索骥引育“专精特新”与终端制品项目，使补链强链延链一体推进。以链条控制力提升对冲周期波动，把规模优势固化为难以复制的产业生态优势，系统施策将推动集群由规模领先加快迈向价值与质量领先，坚持问题导向与目标导向相结合，方能把蓝图转化为实效，上述路径方向相互支撑，需一体推进、系统集成、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与中小企业协同培育。支持万达石化、科鲁尔、蓝湾、威联等链主扩能升级、开放配套场景；同时遴选培育一批专注于助剂、专用料、运维服务的“专精特新”中小企业，丰富企业生态层次，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鼓励中小企业走差异化、专业化道路，聚焦细分领域做精做深，避免与龙头同质竞争。支持企业上云用数赋智，提升精益管理与安全生产水平，培育更多单项冠军与“小巨人”企业，增强集群韧性，上述路径方向相互支撑，需一体推进、系统集成、久久为功，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建议建立企业梯度培育库，配套精准政策与服务。推动大中小企业融通对接，以链主需求牵引中小企业技术升级，形成“大树底下长灌木”的良性生态，提升集群整体协同效率与抗风险能力，坚持问题导向与目标导向相结合，方能把蓝图转化为实效，上述路径方向相互支撑，需一体推进、系统集成、久久为功，各项对策的落实，有赖于政府、企业与社会各方的协同发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研发由工艺改进向功能性新材料、绿色工艺等前沿倾斜，提升研发投入产出效率。支持龙头企业牵头组建创新联合体，攻克催化剂、专用料等关键技术，产出更多高价值专利，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提升化工中试基地与创新创业共同体能级，争创国家级创新平台，推动由中试验证向源头创制延伸。深化与高校院所合作，完善“实验室—中试—产业化”转化链条，提高成果本地产业化率，各项对策的落实，有赖于政府、企业与社会各方的协同发力，系统施策将推动集群由规模领先加快迈向价值与质量领先，坚持问题导向与目标导向相结合，方能把蓝图转化为实效。</w:t>
      </w:r>
    </w:p>
    <w:p>
      <w:pPr>
        <w:spacing w:lineRule="exact" w:line="600" w:after="0"/>
        <w:ind w:firstLine="420"/>
      </w:pPr>
      <w:r>
        <w:rPr>
          <w:rFonts w:ascii="仿宋_GB2312" w:hAnsi="仿宋_GB2312" w:eastAsia="仿宋_GB2312"/>
          <w:b w:val="0"/>
          <w:sz w:val="32"/>
        </w:rPr>
        <w:t>建议设立专项引导基金支持中试与首台套应用，健全容错与收益分享机制。以开放共享的创新平台降低中小企业创新门槛，使创新真正成为集群由大到强、由跟随到引领的核心驱动力，上述路径方向相互支撑，需一体推进、系统集成、久久为功，各项对策的落实，有赖于政府、企业与社会各方的协同发力，系统施策将推动集群由规模领先加快迈向价值与质量领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能耗方面，推进存量装置节能改造与集中供热，争取能耗指标向高效项目倾斜，探索绿电替代与碳捕集利用，把低碳园区优势转化为要素竞争力。原料方面，强化港口储运与战略储备，推动来源多元化，坚持问题导向与目标导向相结合，方能把蓝图转化为实效，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资本方面，发挥政府基金引导作用，完善科技金融与供应链金融，缓解中小配套企业融资难。人才方面，完善住房、教育等配套，深化校企合作定向培养，引育研发与国际化经营高层次人才，系统施策将推动集群由规模领先加快迈向价值与质量领先，坚持问题导向与目标导向相结合，方能把蓝图转化为实效，上述路径方向相互支撑，需一体推进、系统集成、久久为功。</w:t>
      </w:r>
    </w:p>
    <w:p>
      <w:pPr>
        <w:spacing w:lineRule="exact" w:line="600" w:after="0"/>
        <w:ind w:firstLine="420"/>
      </w:pPr>
      <w:r>
        <w:rPr>
          <w:rFonts w:ascii="仿宋_GB2312" w:hAnsi="仿宋_GB2312" w:eastAsia="仿宋_GB2312"/>
          <w:b w:val="0"/>
          <w:sz w:val="32"/>
        </w:rPr>
        <w:t>建议建立集群要素统筹保障机制，对补链延链重点项目实行要素优先保障。以更集约、更绿色、更安全的要素供给，支撑集群在严约束下实现高质量扩张，筑牢可持续发展的资源与制度底座，各项对策的落实，有赖于政府、企业与社会各方的协同发力，系统施策将推动集群由规模领先加快迈向价值与质量领先，坚持问题导向与目标导向相结合，方能把蓝图转化为实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用好国家特色产业集群与省级雁阵集群政策红利，争取更多国家级试点、项目与指标落地。细化地方扶持，对中下游“专精特新”、绿色工艺与首台套给予专项支持，提升政策精准度与兑现效率，上述路径方向相互支撑，需一体推进、系统集成、久久为功，各项对策的落实，有赖于政府、企业与社会各方的协同发力，系统施策将推动集群由规模领先加快迈向价值与质量领先。</w:t>
      </w:r>
    </w:p>
    <w:p>
      <w:pPr>
        <w:spacing w:lineRule="exact" w:line="600" w:after="0"/>
        <w:ind w:firstLine="420"/>
      </w:pPr>
      <w:r>
        <w:rPr>
          <w:rFonts w:ascii="仿宋_GB2312" w:hAnsi="仿宋_GB2312" w:eastAsia="仿宋_GB2312"/>
          <w:b w:val="0"/>
          <w:sz w:val="32"/>
        </w:rPr>
        <w:t>优化营商环境，深化“放管服”改革，在环评、安评、能评等环节提供高效集成服务。发挥行业协会与产业共同体纽带作用，组织联合招商、标准制定与人才培养，构建政府—市场—社会协同治理格局，坚持问题导向与目标导向相结合，方能把蓝图转化为实效，上述路径方向相互支撑，需一体推进、系统集成、久久为功，各项对策的落实，有赖于政府、企业与社会各方的协同发力。</w:t>
      </w:r>
    </w:p>
    <w:p>
      <w:pPr>
        <w:spacing w:lineRule="exact" w:line="600" w:after="0"/>
        <w:ind w:firstLine="420"/>
      </w:pPr>
      <w:r>
        <w:rPr>
          <w:rFonts w:ascii="仿宋_GB2312" w:hAnsi="仿宋_GB2312" w:eastAsia="仿宋_GB2312"/>
          <w:b w:val="0"/>
          <w:sz w:val="32"/>
        </w:rPr>
        <w:t>建议建立集群发展动态监测与评估机制，定期检视链条、创新、要素、政策成效，滚动优化举措。以系统集成的政策体系，护航集群由规模领先迈向高端引领，打造全国烯烃新材料高质量发展标杆，系统施策将推动集群由规模领先加快迈向价值与质量领先，坚持问题导向与目标导向相结合，方能把蓝图转化为实效，上述路径方向相互支撑，需一体推进、系统集成、久久为功。</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工业和信息化部关于2023年度中小企业特色产业集群名单的公告（https://www.miit.gov.cn/）</w:t>
      </w:r>
    </w:p>
    <w:p>
      <w:pPr>
        <w:spacing w:lineRule="exact" w:line="600" w:after="0"/>
        <w:ind w:firstLine="0"/>
      </w:pPr>
      <w:r>
        <w:rPr>
          <w:rFonts w:ascii="仿宋_GB2312" w:hAnsi="仿宋_GB2312" w:eastAsia="仿宋_GB2312"/>
          <w:b w:val="0"/>
          <w:sz w:val="32"/>
        </w:rPr>
        <w:t>2. 山东省东营市烯烃材料产业集群入选国家级中小企业特色产业集群相关报道（大众日报）</w:t>
      </w:r>
    </w:p>
    <w:p>
      <w:pPr>
        <w:spacing w:lineRule="exact" w:line="600" w:after="0"/>
        <w:ind w:firstLine="0"/>
      </w:pPr>
      <w:r>
        <w:rPr>
          <w:rFonts w:ascii="仿宋_GB2312" w:hAnsi="仿宋_GB2312" w:eastAsia="仿宋_GB2312"/>
          <w:b w:val="0"/>
          <w:sz w:val="32"/>
        </w:rPr>
        <w:t>3. 东营港经济开发区：工业产值突破2000亿元相关报道（东营日报/齐鲁网）</w:t>
      </w:r>
    </w:p>
    <w:p>
      <w:pPr>
        <w:spacing w:lineRule="exact" w:line="600" w:after="0"/>
        <w:ind w:firstLine="0"/>
      </w:pPr>
      <w:r>
        <w:rPr>
          <w:rFonts w:ascii="仿宋_GB2312" w:hAnsi="仿宋_GB2312" w:eastAsia="仿宋_GB2312"/>
          <w:b w:val="0"/>
          <w:sz w:val="32"/>
        </w:rPr>
        <w:t>4. 东营港经济开发区烯烃芳烃集群规上企业营收905.2亿元报道（东营市政府网站）</w:t>
      </w:r>
    </w:p>
    <w:p>
      <w:pPr>
        <w:spacing w:lineRule="exact" w:line="600" w:after="0"/>
        <w:ind w:firstLine="0"/>
      </w:pPr>
      <w:r>
        <w:rPr>
          <w:rFonts w:ascii="仿宋_GB2312" w:hAnsi="仿宋_GB2312" w:eastAsia="仿宋_GB2312"/>
          <w:b w:val="0"/>
          <w:sz w:val="32"/>
        </w:rPr>
        <w:t>5. 万达石化45万吨/年丙烷脱氢及产业链“隔墙供应”报道（中国化工报）</w:t>
      </w:r>
    </w:p>
    <w:p>
      <w:pPr>
        <w:spacing w:lineRule="exact" w:line="600" w:after="0"/>
        <w:ind w:firstLine="0"/>
      </w:pPr>
      <w:r>
        <w:rPr>
          <w:rFonts w:ascii="仿宋_GB2312" w:hAnsi="仿宋_GB2312" w:eastAsia="仿宋_GB2312"/>
          <w:b w:val="0"/>
          <w:sz w:val="32"/>
        </w:rPr>
        <w:t>6. 科鲁尔化学26万吨/年丙烯腈装置（中石化与万达合资）相关介绍（企业官网/地方报道）</w:t>
      </w:r>
    </w:p>
    <w:p>
      <w:pPr>
        <w:spacing w:lineRule="exact" w:line="600" w:after="0"/>
        <w:ind w:firstLine="0"/>
      </w:pPr>
      <w:r>
        <w:rPr>
          <w:rFonts w:ascii="仿宋_GB2312" w:hAnsi="仿宋_GB2312" w:eastAsia="仿宋_GB2312"/>
          <w:b w:val="0"/>
          <w:sz w:val="32"/>
        </w:rPr>
        <w:t>7. 蓝湾新材料68亿元吸水性高分子材料项目报道（齐鲁网/东营港经开区）</w:t>
      </w:r>
    </w:p>
    <w:p>
      <w:pPr>
        <w:spacing w:lineRule="exact" w:line="600" w:after="0"/>
        <w:ind w:firstLine="0"/>
      </w:pPr>
      <w:r>
        <w:rPr>
          <w:rFonts w:ascii="仿宋_GB2312" w:hAnsi="仿宋_GB2312" w:eastAsia="仿宋_GB2312"/>
          <w:b w:val="0"/>
          <w:sz w:val="32"/>
        </w:rPr>
        <w:t>8. 威联化学PX项目列入国家《石化产业规划布局方案》报道（山东省工信厅）</w:t>
      </w:r>
    </w:p>
    <w:p>
      <w:pPr>
        <w:spacing w:lineRule="exact" w:line="600" w:after="0"/>
        <w:ind w:firstLine="0"/>
      </w:pPr>
      <w:r>
        <w:rPr>
          <w:rFonts w:ascii="仿宋_GB2312" w:hAnsi="仿宋_GB2312" w:eastAsia="仿宋_GB2312"/>
          <w:b w:val="0"/>
          <w:sz w:val="32"/>
        </w:rPr>
        <w:t>9. 东营港化工产业园总体发展规划、产业发展规划（石油和化学工业规划院编制）</w:t>
      </w:r>
    </w:p>
    <w:p>
      <w:pPr>
        <w:spacing w:lineRule="exact" w:line="600" w:after="0"/>
        <w:ind w:firstLine="0"/>
      </w:pPr>
      <w:r>
        <w:rPr>
          <w:rFonts w:ascii="仿宋_GB2312" w:hAnsi="仿宋_GB2312" w:eastAsia="仿宋_GB2312"/>
          <w:b w:val="0"/>
          <w:sz w:val="32"/>
        </w:rPr>
        <w:t>10. 东营港经济开发区低碳发展规划及“低碳化工园区”称号（中国化工经济技术发展中心）</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