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山东省临朐县铝型材制品产业集群发展研究报告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省临朐县铝型材制品产业集群于2025年度入选工业和信息化部中小企业特色产业集群（第四批）名单，是国家级特色产业集群，实现了潍坊市在该领域“国字号”集群零的突破。该集群的设立进一步强化了本地在区域先进制造业版图中的节点功能。上述属性决定了集群后续应以高端智造与绿色转型作为主攻方向。明确的功能定位，有助于引导土地、人才、资本等要素向集群集中。</w:t>
      </w:r>
    </w:p>
    <w:p>
      <w:pPr>
        <w:spacing w:lineRule="exact" w:line="600" w:after="0"/>
        <w:ind w:firstLine="420"/>
      </w:pPr>
      <w:r>
        <w:rPr>
          <w:rFonts w:ascii="仿宋_GB2312" w:hAnsi="仿宋_GB2312" w:eastAsia="仿宋_GB2312"/>
          <w:b w:val="0"/>
          <w:sz w:val="32"/>
        </w:rPr>
        <w:t>集群位于潍坊市临朐县，发端于上世纪80年代的铝材贩运与门店交易，历经四十余年发展，已成为国内重要的铝型材产业集聚区，享有“中国铝业之都”“中国门窗之都”等美誉。该集群的设立进一步强化了本地在区域先进制造业版图中的节点功能。上述属性决定了集群后续应以高端智造与绿色转型作为主攻方向。明确的功能定位，有助于引导土地、人才、资本等要素向集群集中。</w:t>
      </w:r>
    </w:p>
    <w:p>
      <w:pPr>
        <w:spacing w:lineRule="exact" w:line="600" w:after="0"/>
        <w:ind w:firstLine="420"/>
      </w:pPr>
      <w:r>
        <w:rPr>
          <w:rFonts w:ascii="仿宋_GB2312" w:hAnsi="仿宋_GB2312" w:eastAsia="仿宋_GB2312"/>
          <w:b w:val="0"/>
          <w:sz w:val="32"/>
        </w:rPr>
        <w:t>从属性看，该集群属于传统优势产业提质升级的典型代表，依托“政府引导+龙头引领”双轮驱动，在县域制造业高质量发展中承担支柱功能。该集群的设立进一步强化了本地在区域先进制造业版图中的节点功能。上述属性决定了集群后续应以高端智造与绿色转型作为主攻方向。明确的功能定位，有助于引导土地、人才、资本等要素向集群集中。该方向的持续推进，对集群整体能级的提升具有积极意义。</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临朐县公开数据，集群年产能达180万吨，集聚铝产业关联企业460余家（其中铝型材企业78家、配套企业460余家），形成较大体量。体量结构的持续优化，是集群由规模扩张转向质量效益提升的重要基础。后续应注重在扩张同时保持产出效率与盈利质量的同步改善。规模与效益的协调增长，是衡量集群健康发展水平的核心标尺。该方向的持续推进，对集群整体能级的提升具有积极意义。</w:t>
      </w:r>
    </w:p>
    <w:p>
      <w:pPr>
        <w:spacing w:lineRule="exact" w:line="600" w:after="0"/>
        <w:ind w:firstLine="420"/>
      </w:pPr>
      <w:r>
        <w:rPr>
          <w:rFonts w:ascii="仿宋_GB2312" w:hAnsi="仿宋_GB2312" w:eastAsia="仿宋_GB2312"/>
          <w:b w:val="0"/>
          <w:sz w:val="32"/>
        </w:rPr>
        <w:t>集群年产值由2024年的480多亿元，到2025年入选国家级集群后部分报道称已突破540亿元，规模持续扩张，是县域经济的“压舱石”。体量结构的持续优化，是集群由规模扩张转向质量效益提升的重要基础。后续应注重在扩张同时保持产出效率与盈利质量的同步改善。规模与效益的协调增长，是衡量集群健康发展水平的核心标尺。该方向的持续推进，对集群整体能级的提升具有积极意义。</w:t>
      </w:r>
    </w:p>
    <w:p>
      <w:pPr>
        <w:spacing w:lineRule="exact" w:line="600" w:after="0"/>
        <w:ind w:firstLine="420"/>
      </w:pPr>
      <w:r>
        <w:rPr>
          <w:rFonts w:ascii="仿宋_GB2312" w:hAnsi="仿宋_GB2312" w:eastAsia="仿宋_GB2312"/>
          <w:b w:val="0"/>
          <w:sz w:val="32"/>
        </w:rPr>
        <w:t>2026年上半年，临朐全县规上工业企业总产值412.8亿元、同比增长10.6%，铝产业集群对工业增长的支撑作用突出。体量结构的持续优化，是集群由规模扩张转向质量效益提升的重要基础。后续应注重在扩张同时保持产出效率与盈利质量的同步改善。规模与效益的协调增长，是衡量集群健康发展水平的核心标尺。该方向的持续推进，对集群整体能级的提升具有积极意义。</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以铝型材制品为主导，涵盖原材料冶炼与制备、精深加工与制品、下游应用与循环利用三大环节，构建起全链条产业生态。主导产业的清晰定位，为集群招商引资与项目落地提供了明确指引。各板块的协同演进，将共同支撑集群向价值链中高端稳步攀升。支柱与配套的合理搭配，增强了集群应对单一市场波动的韧性。该方向的持续推进，对集群整体能级的提升具有积极意义。</w:t>
      </w:r>
    </w:p>
    <w:p>
      <w:pPr>
        <w:spacing w:lineRule="exact" w:line="600" w:after="0"/>
        <w:ind w:firstLine="420"/>
      </w:pPr>
      <w:r>
        <w:rPr>
          <w:rFonts w:ascii="仿宋_GB2312" w:hAnsi="仿宋_GB2312" w:eastAsia="仿宋_GB2312"/>
          <w:b w:val="0"/>
          <w:sz w:val="32"/>
        </w:rPr>
        <w:t>在原材料端，发展铝棒熔铸与再生铝制备；在精深加工端，聚焦挤压、表面处理及系统门窗制造；在应用端，向建筑、工业材与循环利用延伸。主导产业的清晰定位，为集群招商引资与项目落地提供了明确指引。各板块的协同演进，将共同支撑集群向价值链中高端稳步攀升。支柱与配套的合理搭配，增强了集群应对单一市场波动的韧性。该方向的持续推进，对集群整体能级的提升具有积极意义。</w:t>
      </w:r>
    </w:p>
    <w:p>
      <w:pPr>
        <w:spacing w:lineRule="exact" w:line="600" w:after="0"/>
        <w:ind w:firstLine="420"/>
      </w:pPr>
      <w:r>
        <w:rPr>
          <w:rFonts w:ascii="仿宋_GB2312" w:hAnsi="仿宋_GB2312" w:eastAsia="仿宋_GB2312"/>
          <w:b w:val="0"/>
          <w:sz w:val="32"/>
        </w:rPr>
        <w:t>主导产品从传统建筑型材拓展至汽车轻量化、轨道交通、光伏新能源等高端工业材，工业铝型材产量占比已约60%。主导产业的清晰定位，为集群招商引资与项目落地提供了明确指引。各板块的协同演进，将共同支撑集群向价值链中高端稳步攀升。支柱与配套的合理搭配，增强了集群应对单一市场波动的韧性。该方向的持续推进，对集群整体能级的提升具有积极意义。</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构建“上游设备—中游型材—下游深加工”的全产业链格局，打通熔铸、挤压、模具、深加工、表面处理到系统门窗生产的全流程配套。完整度的提升有助于降低外部冲击对集群平稳运行的不利影响。后续应着力把链条优势转化为产品一致性与交付效率优势。链条环节的本地化率提升，将显著缩短配套响应周期与物流成本。该方向的持续推进，对集群整体能级的提升具有积极意义。</w:t>
      </w:r>
    </w:p>
    <w:p>
      <w:pPr>
        <w:spacing w:lineRule="exact" w:line="600" w:after="0"/>
        <w:ind w:firstLine="420"/>
      </w:pPr>
      <w:r>
        <w:rPr>
          <w:rFonts w:ascii="仿宋_GB2312" w:hAnsi="仿宋_GB2312" w:eastAsia="仿宋_GB2312"/>
          <w:b w:val="0"/>
          <w:sz w:val="32"/>
        </w:rPr>
        <w:t>上游有挤压机、喷涂设备企业就近供货，再生铝项目筑牢绿色循环供料根基；中游华建、广华等骨干企业精研工艺；下游门窗、密封胶等配套环环相扣。完整度的提升有助于降低外部冲击对集群平稳运行的不利影响。后续应着力把链条优势转化为产品一致性与交付效率优势。链条环节的本地化率提升，将显著缩短配套响应周期与物流成本。该方向的持续推进，对集群整体能级的提升具有积极意义。</w:t>
      </w:r>
    </w:p>
    <w:p>
      <w:pPr>
        <w:spacing w:lineRule="exact" w:line="600" w:after="0"/>
        <w:ind w:firstLine="420"/>
      </w:pPr>
      <w:r>
        <w:rPr>
          <w:rFonts w:ascii="仿宋_GB2312" w:hAnsi="仿宋_GB2312" w:eastAsia="仿宋_GB2312"/>
          <w:b w:val="0"/>
          <w:sz w:val="32"/>
        </w:rPr>
        <w:t>完整度的提升有助于降低外部冲击，本地直供、就地配套让企业采购周期与物流成本大幅降低，实现“足不出县配齐生产所需”。完整度的提升有助于降低外部冲击对集群平稳运行的不利影响。后续应着力把链条优势转化为产品一致性与交付效率优势。链条环节的本地化率提升，将显著缩短配套响应周期与物流成本。该方向的持续推进，对集群整体能级的提升具有积极意义。</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集群建筑铝材占比偏高，房地产市场需求萎缩对以建材为主体的结构形成直接冲击，部分中小企业面临经营压力。补齐上述短板，是提升集群整体韧性与抗风险能力的关键抓手。针对短板的精准投入，将显著改善集群长期竞争的底层能力。短板环节的突破，往往能带动整条产业链能级实现跃升。该方向的持续推进，对集群整体能级的提升具有积极意义。</w:t>
      </w:r>
    </w:p>
    <w:p>
      <w:pPr>
        <w:spacing w:lineRule="exact" w:line="600" w:after="0"/>
        <w:ind w:firstLine="420"/>
      </w:pPr>
      <w:r>
        <w:rPr>
          <w:rFonts w:ascii="仿宋_GB2312" w:hAnsi="仿宋_GB2312" w:eastAsia="仿宋_GB2312"/>
          <w:b w:val="0"/>
          <w:sz w:val="32"/>
        </w:rPr>
        <w:t>产品同质化与价格内卷较为突出，低端价格竞争侵蚀企业利润；向工业材转型受技术与设备门槛制约，中小企业转型相对困难。补齐上述短板，是提升集群整体韧性与抗风险能力的关键抓手。针对短板的精准投入，将显著改善集群长期竞争的底层能力。短板环节的突破，往往能带动整条产业链能级实现跃升。该方向的持续推进，对集群整体能级的提升具有积极意义。</w:t>
      </w:r>
    </w:p>
    <w:p>
      <w:pPr>
        <w:spacing w:lineRule="exact" w:line="600" w:after="0"/>
        <w:ind w:firstLine="420"/>
      </w:pPr>
      <w:r>
        <w:rPr>
          <w:rFonts w:ascii="仿宋_GB2312" w:hAnsi="仿宋_GB2312" w:eastAsia="仿宋_GB2312"/>
          <w:b w:val="0"/>
          <w:sz w:val="32"/>
        </w:rPr>
        <w:t>补齐短板需精准投入，引导企业由“做建材”向“做工业材、做精密结构件”转变，提升整体韧性与抗风险能力。补齐上述短板，是提升集群整体韧性与抗风险能力的关键抓手。针对短板的精准投入，将显著改善集群长期竞争的底层能力。短板环节的突破，往往能带动整条产业链能级实现跃升。该方向的持续推进，对集群整体能级的提升具有积极意义。</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在铝型材制造环节规模居前，但在高强高韧铝合金等高端材料与品牌溢价方面仍有提升空间，价值链位势处于由中低端向高端攀升阶段。价值链位势的上移，最终要体现为本地企业利润与品牌溢价的同步提升。持续向高端环节延伸，是避免陷入低成本竞争的根本路径。攀升价值链需要研发、品牌、渠道三线并进、协同发力。该方向的持续推进，对集群整体能级的提升具有积极意义。</w:t>
      </w:r>
    </w:p>
    <w:p>
      <w:pPr>
        <w:spacing w:lineRule="exact" w:line="600" w:after="0"/>
        <w:ind w:firstLine="420"/>
      </w:pPr>
      <w:r>
        <w:rPr>
          <w:rFonts w:ascii="仿宋_GB2312" w:hAnsi="仿宋_GB2312" w:eastAsia="仿宋_GB2312"/>
          <w:b w:val="0"/>
          <w:sz w:val="32"/>
        </w:rPr>
        <w:t>华建铝业等龙头企业已进入汽车轻量化、航空航天备选材料等高附加值领域，带动价值链整体上移。价值链位势的上移，最终要体现为本地企业利润与品牌溢价的同步提升。持续向高端环节延伸，是避免陷入低成本竞争的根本路径。攀升价值链需要研发、品牌、渠道三线并进、协同发力。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价值链位势上移最终要体现为本地企业利润与品牌溢价同步提升，持续向高端环节延伸是避免低成本竞争的根本路径。价值链位势的上移，最终要体现为本地企业利润与品牌溢价的同步提升。持续向高端环节延伸，是避免陷入低成本竞争的根本路径。攀升价值链需要研发、品牌、渠道三线并进、协同发力。该方向的持续推进，对集群整体能级的提升具有积极意义。</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以华建铝业为链主，搭建“六区六园三平台”产业格局，形成龙头引领、骨干支撑、细分突破的协同发展体系。合理的分工体系，是集群内部形成合力而非内耗的重要制度保障。分工深化将进一步提升中小企业融入龙头配套体系的便利度。错位分工有效避免了同质化竞争对集群整体效益的侵蚀。该方向的持续推进，对集群整体能级的提升具有积极意义。</w:t>
      </w:r>
    </w:p>
    <w:p>
      <w:pPr>
        <w:spacing w:lineRule="exact" w:line="600" w:after="0"/>
        <w:ind w:firstLine="420"/>
      </w:pPr>
      <w:r>
        <w:rPr>
          <w:rFonts w:ascii="仿宋_GB2312" w:hAnsi="仿宋_GB2312" w:eastAsia="仿宋_GB2312"/>
          <w:b w:val="0"/>
          <w:sz w:val="32"/>
        </w:rPr>
        <w:t>明晟重工深耕高端挤压装备，米兰之窗专攻系统门窗深加工，沃赛新材料研发配套密封胶，广华铝材主打轨道交通与高端建筑铝材，分工明确。合理的分工体系，是集群内部形成合力而非内耗的重要制度保障。分工深化将进一步提升中小企业融入龙头配套体系的便利度。错位分工有效避免了同质化竞争对集群整体效益的侵蚀。该方向的持续推进，对集群整体能级的提升具有积极意义。</w:t>
      </w:r>
    </w:p>
    <w:p>
      <w:pPr>
        <w:spacing w:lineRule="exact" w:line="600" w:after="0"/>
        <w:ind w:firstLine="420"/>
      </w:pPr>
      <w:r>
        <w:rPr>
          <w:rFonts w:ascii="仿宋_GB2312" w:hAnsi="仿宋_GB2312" w:eastAsia="仿宋_GB2312"/>
          <w:b w:val="0"/>
          <w:sz w:val="32"/>
        </w:rPr>
        <w:t>合理的分工体系避免同质化内耗，错位分工有效避免了同质化竞争对集群整体效益的侵蚀。合理的分工体系，是集群内部形成合力而非内耗的重要制度保障。分工深化将进一步提升中小企业融入龙头配套体系的便利度。错位分工有效避免了同质化竞争对集群整体效益的侵蚀。该方向的持续推进，对集群整体能级的提升具有积极意义。相关工作的系统化推进，有助于巩固集群已形成的竞争优势。</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以华建铝业为龙头（年铝材产能约80万吨，居中国建筑铝型材行业前三强），另有广华、伟盛、东铝等一批骨干与配套企业，大中小并存。规模结构的优化，有助于增强集群整体对外部周期波动的承受能力。推动中小企业上规模、上水平，是梯队建设的长期任务。大中小融通的体型结构，是集群活力与稳定并存的重要基础。该方向的持续推进，对集群整体能级的提升具有积极意义。</w:t>
      </w:r>
    </w:p>
    <w:p>
      <w:pPr>
        <w:spacing w:lineRule="exact" w:line="600" w:after="0"/>
        <w:ind w:firstLine="420"/>
      </w:pPr>
      <w:r>
        <w:rPr>
          <w:rFonts w:ascii="仿宋_GB2312" w:hAnsi="仿宋_GB2312" w:eastAsia="仿宋_GB2312"/>
          <w:b w:val="0"/>
          <w:sz w:val="32"/>
        </w:rPr>
        <w:t>从体量分布看，链主规模优势突出；中小企业多为铝挤压与配套商，产品同质化明显但协同紧密，共同构成梯次阵营。规模结构的优化，有助于增强集群整体对外部周期波动的承受能力。推动中小企业上规模、上水平，是梯队建设的长期任务。大中小融通的体型结构，是集群活力与稳定并存的重要基础。该方向的持续推进，对集群整体能级的提升具有积极意义。</w:t>
      </w:r>
    </w:p>
    <w:p>
      <w:pPr>
        <w:spacing w:lineRule="exact" w:line="600" w:after="0"/>
        <w:ind w:firstLine="420"/>
      </w:pPr>
      <w:r>
        <w:rPr>
          <w:rFonts w:ascii="仿宋_GB2312" w:hAnsi="仿宋_GB2312" w:eastAsia="仿宋_GB2312"/>
          <w:b w:val="0"/>
          <w:sz w:val="32"/>
        </w:rPr>
        <w:t>规模结构的优化有助于增强集群对外部周期波动的承受能力，推动中小企业上规模、上水平是梯队建设长期任务。规模结构的优化，有助于增强集群整体对外部周期波动的承受能力。推动中小企业上规模、上水平，是梯队建设的长期任务。大中小融通的体型结构，是集群活力与稳定并存的重要基础。该方向的持续推进，对集群整体能级的提升具有积极意义。</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以民营资本为主，产权安排清晰，华建铝业等为民营龙头企业，混合所有制与民营企业并存。清晰的产权安排，为集群引入外部资本与现代化治理创造了条件。民营活力的保持与规范引导，需坚持放管结合、疏堵并举。多元资本的有序进入，将优化集群的投融资结构与治理水平。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清晰的产权安排为引入外部资本与现代化治理创造条件，多元资本有序进入优化投融资结构。清晰的产权安排，为集群引入外部资本与现代化治理创造了条件。民营活力的保持与规范引导，需坚持放管结合、疏堵并举。多元资本的有序进入，将优化集群的投融资结构与治理水平。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民营活力的保持与规范引导需坚持放管结合，激发中小企业创新潜能。清晰的产权安排，为集群引入外部资本与现代化治理创造了条件。民营活力的保持与规范引导，需坚持放管结合、疏堵并举。多元资本的有序进入，将优化集群的投融资结构与治理水平。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华建铝业集团是集群链主，始建于2000年，拥有国家级工业设计中心、博士后科研工作站，累计获国家专利1600余项，参与制定国家、行业标准60余项。头部企业的示范效应，对中小企业技术与管理升级具有牵引作用。巩固头部优势与培育后备梯队，应作为企业政策的双重着力点。龙头带动与专精特新并进，是集群竞争力持续壮大的源泉。</w:t>
      </w:r>
    </w:p>
    <w:p>
      <w:pPr>
        <w:spacing w:lineRule="exact" w:line="600" w:after="0"/>
        <w:ind w:firstLine="420"/>
      </w:pPr>
      <w:r>
        <w:rPr>
          <w:rFonts w:ascii="仿宋_GB2312" w:hAnsi="仿宋_GB2312" w:eastAsia="仿宋_GB2312"/>
          <w:b w:val="0"/>
          <w:sz w:val="32"/>
        </w:rPr>
        <w:t>华建建成20万平方米超大型智能工厂，新上32条自动化智能生产线，生产效率提高25%以上、成本降20%，产品远销50多个国家和地区。头部企业的示范效应，对中小企业技术与管理升级具有牵引作用。巩固头部优势与培育后备梯队，应作为企业政策的双重着力点。龙头带动与专精特新并进，是集群竞争力持续壮大的源泉。该方向的持续推进，对集群整体能级的提升具有积极意义。</w:t>
      </w:r>
    </w:p>
    <w:p>
      <w:pPr>
        <w:spacing w:lineRule="exact" w:line="600" w:after="0"/>
        <w:ind w:firstLine="420"/>
      </w:pPr>
      <w:r>
        <w:rPr>
          <w:rFonts w:ascii="仿宋_GB2312" w:hAnsi="仿宋_GB2312" w:eastAsia="仿宋_GB2312"/>
          <w:b w:val="0"/>
          <w:sz w:val="32"/>
        </w:rPr>
        <w:t>头部企业的示范效应对中小企业技术与管理升级具有牵引作用，巩固头部优势与培育后备梯队应作为企业政策双重着力点。头部企业的示范效应，对中小企业技术与管理升级具有牵引作用。巩固头部优势与培育后备梯队，应作为企业政策的双重着力点。龙头带动与专精特新并进，是集群竞争力持续壮大的源泉。该方向的持续推进，对集群整体能级的提升具有积极意义。</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主要集聚于东城街道工业园等园区，地理集中度高，便于共用检测、物流等公共服务。集聚红利的释放程度，取决于公共服务与协同机制的建设水平。在集聚中化解负外部性，是集群可持续发展的现实要求。紧凑而有序的集聚形态，是本地区别于同类集群的显著特征。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以链主为核心、配套企业环绕的集聚形态，使技术外溢与协同创新更容易发生，形成明显集聚红利。集聚红利的释放程度，取决于公共服务与协同机制的建设水平。在集聚中化解负外部性，是集群可持续发展的现实要求。紧凑而有序的集聚形态，是本地区别于同类集群的显著特征。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紧凑而有序的集聚形态是本地区别于同类集群的显著特征，集聚红利释放程度取决于公共服务与协同机制建设水平。集聚红利的释放程度，取决于公共服务与协同机制的建设水平。在集聚中化解负外部性，是集群可持续发展的现实要求。紧凑而有序的集聚形态，是本地区别于同类集群的显著特征。该方向的持续推进，对集群整体能级的提升具有积极意义。</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华建铝业等龙头企业持续加大研发投入，建成国家级工业设计中心、博士后科研工作站等创新平台，研发强度处于行业前列。研发投入强度的整体抬升，是集群迈向创新驱动的必经之路。引导中小企业把有限资金投向关键工艺，能显著提升投入产出比。研发资源的倾斜配置，应优先支持共性技术与关键材料攻关。该方向的持续推进，对集群整体能级的提升具有积极意义。</w:t>
      </w:r>
    </w:p>
    <w:p>
      <w:pPr>
        <w:spacing w:lineRule="exact" w:line="600" w:after="0"/>
        <w:ind w:firstLine="420"/>
      </w:pPr>
      <w:r>
        <w:rPr>
          <w:rFonts w:ascii="仿宋_GB2312" w:hAnsi="仿宋_GB2312" w:eastAsia="仿宋_GB2312"/>
          <w:b w:val="0"/>
          <w:sz w:val="32"/>
        </w:rPr>
        <w:t>企业联合中南大学等高校攻关绿色低碳铝基新材料，突破汽车轻量化核心技术，研发投入向关键材料倾斜。研发投入强度的整体抬升，是集群迈向创新驱动的必经之路。引导中小企业把有限资金投向关键工艺，能显著提升投入产出比。研发资源的倾斜配置，应优先支持共性技术与关键材料攻关。该方向的持续推进，对集群整体能级的提升具有积极意义。</w:t>
      </w:r>
    </w:p>
    <w:p>
      <w:pPr>
        <w:spacing w:lineRule="exact" w:line="600" w:after="0"/>
        <w:ind w:firstLine="420"/>
      </w:pPr>
      <w:r>
        <w:rPr>
          <w:rFonts w:ascii="仿宋_GB2312" w:hAnsi="仿宋_GB2312" w:eastAsia="仿宋_GB2312"/>
          <w:b w:val="0"/>
          <w:sz w:val="32"/>
        </w:rPr>
        <w:t>研发投入强度整体抬升是集群迈向创新驱动的必经之路，研发资源应优先支持共性技术与关键材料攻关。研发投入强度的整体抬升，是集群迈向创新驱动的必经之路。引导中小企业把有限资金投向关键工艺，能显著提升投入产出比。研发资源的倾斜配置，应优先支持共性技术与关键材料攻关。该方向的持续推进，对集群整体能级的提升具有积极意义。</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在高端铝合金材料、智能制造工艺等方面形成一批自主技术积累，华建累计获国家专利1600余项，牵头制定20项行业团体标准。创新成果的持续产出，正在重塑集群产品的市场竞争力图谱。把产出优势转化为标准与专利优势，是下一阶段的攻坚重点。可量化的质量与效率提升，是创新成效最直观的体现形式。该方向的持续推进，对集群整体能级的提升具有积极意义。</w:t>
      </w:r>
    </w:p>
    <w:p>
      <w:pPr>
        <w:spacing w:lineRule="exact" w:line="600" w:after="0"/>
        <w:ind w:firstLine="420"/>
      </w:pPr>
      <w:r>
        <w:rPr>
          <w:rFonts w:ascii="仿宋_GB2312" w:hAnsi="仿宋_GB2312" w:eastAsia="仿宋_GB2312"/>
          <w:b w:val="0"/>
          <w:sz w:val="32"/>
        </w:rPr>
        <w:t>高强高韧铝合金较钢结构减重30%，适配新能源汽车并成航空航天、船舶备选材料；光伏支架铝材进入金风科技等供应链。创新成果的持续产出，正在重塑集群产品的市场竞争力图谱。把产出优势转化为标准与专利优势，是下一阶段的攻坚重点。可量化的质量与效率提升，是创新成效最直观的体现形式。该方向的持续推进，对集群整体能级的提升具有积极意义。</w:t>
      </w:r>
    </w:p>
    <w:p>
      <w:pPr>
        <w:spacing w:lineRule="exact" w:line="600" w:after="0"/>
        <w:ind w:firstLine="420"/>
      </w:pPr>
      <w:r>
        <w:rPr>
          <w:rFonts w:ascii="仿宋_GB2312" w:hAnsi="仿宋_GB2312" w:eastAsia="仿宋_GB2312"/>
          <w:b w:val="0"/>
          <w:sz w:val="32"/>
        </w:rPr>
        <w:t>创新成果持续产出正在重塑集群产品竞争力图谱，把产出优势转化为标准与专利优势是下一阶段攻坚重点。创新成果的持续产出，正在重塑集群产品的市场竞争力图谱。把产出优势转化为标准与专利优势，是下一阶段的攻坚重点。可量化的质量与效率提升，是创新成效最直观的体现形式。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依托国家级铝型材及门窗制品质量检验检测中心，集群为企业提供设备共享、标准制定、技术攻关全链条服务。平台能级的高低，直接关系中小企业能否低门槛获取创新资源。推动平台互联与数据互通，可进一步放大公共创新的乘数效应。产学研载体的协同，缩短了从实验室成果到产线应用的周期。该方向的持续推进，对集群整体能级的提升具有积极意义。</w:t>
      </w:r>
    </w:p>
    <w:p>
      <w:pPr>
        <w:spacing w:lineRule="exact" w:line="600" w:after="0"/>
        <w:ind w:firstLine="420"/>
      </w:pPr>
      <w:r>
        <w:rPr>
          <w:rFonts w:ascii="仿宋_GB2312" w:hAnsi="仿宋_GB2312" w:eastAsia="仿宋_GB2312"/>
          <w:b w:val="0"/>
          <w:sz w:val="32"/>
        </w:rPr>
        <w:t>平台能级高低直接关系中小企业能否低门槛获取创新资源，推动平台互联与数据互通可放大公共创新乘数效应。平台能级的高低，直接关系中小企业能否低门槛获取创新资源。推动平台互联与数据互通，可进一步放大公共创新的乘数效应。产学研载体的协同，缩短了从实验室成果到产线应用的周期。该方向的持续推进，对集群整体能级的提升具有积极意义。</w:t>
      </w:r>
    </w:p>
    <w:p>
      <w:pPr>
        <w:spacing w:lineRule="exact" w:line="600" w:after="0"/>
        <w:ind w:firstLine="420"/>
      </w:pPr>
      <w:r>
        <w:rPr>
          <w:rFonts w:ascii="仿宋_GB2312" w:hAnsi="仿宋_GB2312" w:eastAsia="仿宋_GB2312"/>
          <w:b w:val="0"/>
          <w:sz w:val="32"/>
        </w:rPr>
        <w:t>产学研载体协同缩短从实验室到产线应用的周期，是集群创新能力的重要支撑。平台能级的高低，直接关系中小企业能否低门槛获取创新资源。推动平台互联与数据互通，可进一步放大公共创新的乘数效应。产学研载体的协同，缩短了从实验室成果到产线应用的周期。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在铝基新材料领域实现从技术到规模化产线转化，年产6万吨绿色低碳铝基新材料项目、年产30万吨高性能再生铝项目相继落地。转化效率的提升，使集群能够更迅速地把握细分市场的窗口机遇。健全中试与工程化服务，是补齐转化短板的有效着力点。以企业需求牵引转化方向，可显著提升成果产业化的成功率。该方向的持续推进，对集群整体能级的提升具有积极意义。</w:t>
      </w:r>
    </w:p>
    <w:p>
      <w:pPr>
        <w:spacing w:lineRule="exact" w:line="600" w:after="0"/>
        <w:ind w:firstLine="420"/>
      </w:pPr>
      <w:r>
        <w:rPr>
          <w:rFonts w:ascii="仿宋_GB2312" w:hAnsi="仿宋_GB2312" w:eastAsia="仿宋_GB2312"/>
          <w:b w:val="0"/>
          <w:sz w:val="32"/>
        </w:rPr>
        <w:t>中小企业创新同样活跃，东铝铝业年均研发5至6款新产品，定制化铝制阳光房赢得海外市场。转化效率的提升，使集群能够更迅速地把握细分市场的窗口机遇。健全中试与工程化服务，是补齐转化短板的有效着力点。以企业需求牵引转化方向，可显著提升成果产业化的成功率。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转化效率提升使集群更迅速把握细分市场窗口，以企业需求牵引转化方向可显著提升成果产业化成功率。转化效率的提升，使集群能够更迅速地把握细分市场的窗口机遇。健全中试与工程化服务，是补齐转化短板的有效着力点。以企业需求牵引转化方向，可显著提升成果产业化的成功率。该方向的持续推进，对集群整体能级的提升具有积极意义。相关工作的系统化推进，有助于巩固集群已形成的竞争优势。</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从业人员超过10万人，带动数万农户就近就业，产业工人平均年收入近7万元，劳动力储备较为充足。劳动力素质的整体改善，是支撑智改数转落地的人力基础。完善技能培训与薪酬激励，有助于稳定产业工人队伍。技能型劳动力的储备，决定了集群高端化转型的速度与质量。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新能源与高端制造对高技能人才需求提升，集群通过引育并举完善人才结构，缓解结构性短缺。劳动力素质的整体改善，是支撑智改数转落地的人力基础。完善技能培训与薪酬激励，有助于稳定产业工人队伍。技能型劳动力的储备，决定了集群高端化转型的速度与质量。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技能型劳动力储备决定集群高端化转型速度质量，完善技能培训与薪酬激励有助于稳定产业工人队伍。劳动力素质的整体改善，是支撑智改数转落地的人力基础。完善技能培训与薪酬激励，有助于稳定产业工人队伍。技能型劳动力的储备，决定了集群高端化转型的速度与质量。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获得各级产业基金与信贷支持，临朐县每年安排2000万元县级财政专项资金支持铝产业发展，并开展银企对接。资本要素的配置效率，在很大程度上决定了集群升级的速度。拓宽直接融资渠道，可为专精特新企业释放更大的成长空间。多层次资本供给的完善，将缓解中小企业扩张期的资金瓶颈。该方向的持续推进，对集群整体能级的提升具有积极意义。</w:t>
      </w:r>
    </w:p>
    <w:p>
      <w:pPr>
        <w:spacing w:lineRule="exact" w:line="600" w:after="0"/>
        <w:ind w:firstLine="420"/>
      </w:pPr>
      <w:r>
        <w:rPr>
          <w:rFonts w:ascii="仿宋_GB2312" w:hAnsi="仿宋_GB2312" w:eastAsia="仿宋_GB2312"/>
          <w:b w:val="0"/>
          <w:sz w:val="32"/>
        </w:rPr>
        <w:t>资本要素配置效率在很大程度上决定集群升级速度，拓宽直接融资渠道可为专精特新企业释放更大成长空间。资本要素的配置效率，在很大程度上决定了集群升级的速度。拓宽直接融资渠道，可为专精特新企业释放更大的成长空间。多层次资本供给的完善，将缓解中小企业扩张期的资金瓶颈。该方向的持续推进，对集群整体能级的提升具有积极意义。</w:t>
      </w:r>
    </w:p>
    <w:p>
      <w:pPr>
        <w:spacing w:lineRule="exact" w:line="600" w:after="0"/>
        <w:ind w:firstLine="420"/>
      </w:pPr>
      <w:r>
        <w:rPr>
          <w:rFonts w:ascii="仿宋_GB2312" w:hAnsi="仿宋_GB2312" w:eastAsia="仿宋_GB2312"/>
          <w:b w:val="0"/>
          <w:sz w:val="32"/>
        </w:rPr>
        <w:t>多层次资本供给完善将缓解中小企业扩张期资金瓶颈，支撑技改与扩能。资本要素的配置效率，在很大程度上决定了集群升级的速度。拓宽直接融资渠道，可为专精特新企业释放更大的成长空间。多层次资本供给的完善，将缓解中小企业扩张期的资金瓶颈。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在园区内统筹土地与能耗指标，面临资源环境约束，倒逼绿色集约发展。在约束条件下求发展，倒逼集群走出集约高效的绿色新路。能耗强度的稳步下降，是衡量转型成色的重要标尺之一。节约集约用地，为集群后续优质项目落地预留了宝贵空间。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在约束条件下求发展，倒逼集群走出集约高效绿色新路，能耗强度稳步下降是转型成色重要标尺。在约束条件下求发展，倒逼集群走出集约高效的绿色新路。能耗强度的稳步下降，是衡量转型成色的重要标尺之一。节约集约用地，为集群后续优质项目落地预留了宝贵空间。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节约集约用地为后续优质项目落地预留宝贵空间，需坚持绿色底线防止低水平重复建设。在约束条件下求发展，倒逼集群走出集约高效的绿色新路。能耗强度的稳步下降，是衡量转型成色的重要标尺之一。节约集约用地，为集群后续优质项目落地预留了宝贵空间。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铝锭及再生铝为主，本地再生铝项目（如共享铝业、华建30万吨再生铝）筑牢绿色循环供料根基。原材料保障能力的增强，是集群产业链安全的重要压舱石。多元化供给布局，有助于平抑国际原料价格大幅波动的冲击。本地配套能力的强化，降低了外部供应链扰动的传导强度。该方向的持续推进，对集群整体能级的提升具有积极意义。</w:t>
      </w:r>
    </w:p>
    <w:p>
      <w:pPr>
        <w:spacing w:lineRule="exact" w:line="600" w:after="0"/>
        <w:ind w:firstLine="420"/>
      </w:pPr>
      <w:r>
        <w:rPr>
          <w:rFonts w:ascii="仿宋_GB2312" w:hAnsi="仿宋_GB2312" w:eastAsia="仿宋_GB2312"/>
          <w:b w:val="0"/>
          <w:sz w:val="32"/>
        </w:rPr>
        <w:t>多元化供给布局有助于平抑铝价波动冲击，原材料保障能力增强是产业链安全重要压舱石。原材料保障能力的增强，是集群产业链安全的重要压舱石。多元化供给布局，有助于平抑国际原料价格大幅波动的冲击。本地配套能力的强化，降低了外部供应链扰动的传导强度。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本地配套能力强化降低外部供应链扰动传导强度，是集群稳定运行基础条件。原材料保障能力的增强，是集群产业链安全的重要压舱石。多元化供给布局，有助于平抑国际原料价格大幅波动的冲击。本地配套能力的强化，降低了外部供应链扰动的传导强度。该方向的持续推进，对集群整体能级的提升具有积极意义。相关工作的系统化推进，有助于巩固集群已形成的竞争优势。</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覆盖建筑、轨道交通、汽车轻量化等领域，是国内重要的铝型材供应基地，国内市场需求基础扎实。国内大循环的纵深拓展，为集群提供了稳定的需求基本盘。提升内销产品层次，是应对外需波动的重要缓冲手段。深耕主机厂配套与后市场，可夯实集群在内需中的嵌入深度。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国内大循环纵深拓展为集群提供稳定需求基本盘，提升内销产品层次是应对外需波动重要缓冲。国内大循环的纵深拓展，为集群提供了稳定的需求基本盘。提升内销产品层次，是应对外需波动的重要缓冲手段。深耕主机厂配套与后市场，可夯实集群在内需中的嵌入深度。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深耕工程配套与后市场可夯实集群在内需中的嵌入深度，国内市场仍是增长主引擎。国内大循环的纵深拓展，为集群提供了稳定的需求基本盘。提升内销产品层次，是应对外需波动的重要缓冲手段。深耕主机厂配套与后市场，可夯实集群在内需中的嵌入深度。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据不完全统计，集群产品远销全球百余个国家和地区，东铝铝业、华建铝业等出口业务活跃，部分企业外贸订单占相当比重。出口结构的优化，比单纯规模扩张更关乎长期效益与安全。加快海外节点布局，可有效降低单一市场依赖带来的脆弱性。多元市场战略的实施，将增强集群外贸运行的抗风险韧性。该方向的持续推进，对集群整体能级的提升具有积极意义。</w:t>
      </w:r>
    </w:p>
    <w:p>
      <w:pPr>
        <w:spacing w:lineRule="exact" w:line="600" w:after="0"/>
        <w:ind w:firstLine="420"/>
      </w:pPr>
      <w:r>
        <w:rPr>
          <w:rFonts w:ascii="仿宋_GB2312" w:hAnsi="仿宋_GB2312" w:eastAsia="仿宋_GB2312"/>
          <w:b w:val="0"/>
          <w:sz w:val="32"/>
        </w:rPr>
        <w:t>出口结构优化比单纯规模扩张更关乎长期效益与安全，加快海外节点布局可降低单一市场依赖。出口结构的优化，比单纯规模扩张更关乎长期效益与安全。加快海外节点布局，可有效降低单一市场依赖带来的脆弱性。多元市场战略的实施，将增强集群外贸运行的抗风险韧性。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多元市场战略实施将增强集群外贸运行抗风险韧性，借力门窗博览会等平台拓展国际业务。出口结构的优化，比单纯规模扩张更关乎长期效益与安全。加快海外节点布局，可有效降低单一市场依赖带来的脆弱性。多元市场战略的实施，将增强集群外贸运行的抗风险韧性。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拥有中国驰名商标和山东著名商标24件、山东名牌18个，“世界好铝材、中国临朐造”区域品牌影响力日增。品牌价值的积累，是集群从产品竞争走向价值竞争的标志。以质量与信誉夯实品牌，方能获得持续的国际市场话语权。梯次化的品牌矩阵，有助于覆盖不同层级与区域的客户需求。该方向的持续推进，对集群整体能级的提升具有积极意义。</w:t>
      </w:r>
    </w:p>
    <w:p>
      <w:pPr>
        <w:spacing w:lineRule="exact" w:line="600" w:after="0"/>
        <w:ind w:firstLine="420"/>
      </w:pPr>
      <w:r>
        <w:rPr>
          <w:rFonts w:ascii="仿宋_GB2312" w:hAnsi="仿宋_GB2312" w:eastAsia="仿宋_GB2312"/>
          <w:b w:val="0"/>
          <w:sz w:val="32"/>
        </w:rPr>
        <w:t>以质量与信誉夯实品牌方能获得持续国际市场话语权，梯次化品牌矩阵有助于覆盖不同层级客户需求。品牌价值的积累，是集群从产品竞争走向价值竞争的标志。以质量与信誉夯实品牌，方能获得持续的国际市场话语权。梯次化的品牌矩阵，有助于覆盖不同层级与区域的客户需求。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品牌价值积累是集群从产品竞争走向价值竞争的标志，需持续强化质量标准与信誉建设。品牌价值的积累，是集群从产品竞争走向价值竞争的标志。以质量与信誉夯实品牌，方能获得持续的国际市场话语权。梯次化的品牌矩阵，有助于覆盖不同层级与区域的客户需求。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新能源汽车、光伏储能、轨道交通等新兴市场扩张，带动工业铝型材需求增长，工业材产量占比已约60%。把握需求演变节奏，是集群保持市场敏感度的核心能力。前置研发布局，可使集群在需求转换中抢占先发优势。需求洞察机制的建立，将使集群响应更敏捷、供给更精准。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房地产深度调整使传统建筑铝材需求从高峰1400余万吨降至800余万吨，降幅超40%，需求结构深刻变化。把握需求演变节奏，是集群保持市场敏感度的核心能力。前置研发布局，可使集群在需求转换中抢占先发优势。需求洞察机制的建立，将使集群响应更敏捷、供给更精准。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把握需求演变节奏是集群保持市场敏感度核心能力，前置研发布局可使集群在需求转换中抢占先发优势。把握需求演变节奏，是集群保持市场敏感度的核心能力。前置研发布局，可使集群在需求转换中抢占先发优势。需求洞察机制的建立，将使集群响应更敏捷、供给更精准。该方向的持续推进，对集群整体能级的提升具有积极意义。相关工作的系统化推进，有助于巩固集群已形成的竞争优势。</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铝型材产能在山东、广东、江西等地集中布局，临朐凭借全链条配套与“中国铝业之都”品牌在江北形成领先，但区域竞争日趋激烈。在竞合中明确定位，是集群避免同质化消耗的前提。以差异化构筑壁垒，比单纯比拼产能更具可持续意义。扬长避短的错位发展，能在区域格局中守住并拓展优势。该方向的持续推进，对集群整体能级的提升具有积极意义。</w:t>
      </w:r>
    </w:p>
    <w:p>
      <w:pPr>
        <w:spacing w:lineRule="exact" w:line="600" w:after="0"/>
        <w:ind w:firstLine="420"/>
      </w:pPr>
      <w:r>
        <w:rPr>
          <w:rFonts w:ascii="仿宋_GB2312" w:hAnsi="仿宋_GB2312" w:eastAsia="仿宋_GB2312"/>
          <w:b w:val="0"/>
          <w:sz w:val="32"/>
        </w:rPr>
        <w:t>在竞合中明确定位、以差异化构筑壁垒比单纯比拼产能更具可持续意义。在竞合中明确定位，是集群避免同质化消耗的前提。以差异化构筑壁垒，比单纯比拼产能更具可持续意义。扬长避短的错位发展，能在区域格局中守住并拓展优势。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扬长避短错位发展能在区域格局中守住并拓展优势，需持续强化高端工业材领先位势。在竞合中明确定位，是集群避免同质化消耗的前提。以差异化构筑壁垒，比单纯比拼产能更具可持续意义。扬长避短的错位发展，能在区域格局中守住并拓展优势。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建筑铝材占比偏高、产品同质化与价格内卷突出，部分中小企业陷入间歇性经营困境。正视并系统解决内部问题，是集群行稳致远的必答题。内部质效的整体改善，将为外部竞争提供坚实支撑。结构性与能力性短板的化解，需要久久为功、系统推进。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中小企业受技术与挤压机限制转型困难，有被逐步边缘化风险，需避免“高峰孤耸群山凋敝”。正视并系统解决内部问题，是集群行稳致远的必答题。内部质效的整体改善，将为外部竞争提供坚实支撑。结构性与能力性短板的化解，需要久久为功、系统推进。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正视并系统解决内部问题是集群行稳致远必答题，结构性能力短板化解需要久久为功。正视并系统解决内部问题，是集群行稳致远的必答题。内部质效的整体改善，将为外部竞争提供坚实支撑。结构性与能力性短板的化解，需要久久为功、系统推进。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铝消费趋顶、贸易摩擦升级、铝材出口退税取消等外部压力，叠加房地产下行，构成多重不确定性。建立风险预警与应对机制，是提升集群韧性的当务之急。以多元化与本土化对冲外部不确定性，应纳入长期战略。风险敞口的有序收敛，是集群行稳致远的重要保障。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国际贸易壁垒与铝价大幅波动亦构成外部风险，需高度关注。建立风险预警与应对机制，是提升集群韧性的当务之急。以多元化与本土化对冲外部不确定性，应纳入长期战略。风险敞口的有序收敛，是集群行稳致远的重要保障。该方向的持续推进，对集群整体能级的提升具有积极意义。相关工作的系统化推进，有助于巩固集群已形成的竞争优势。上述举措的落地见效，需要政府、企业与社会各方协同发力。</w:t>
      </w:r>
    </w:p>
    <w:p>
      <w:pPr>
        <w:spacing w:lineRule="exact" w:line="600" w:after="0"/>
        <w:ind w:firstLine="420"/>
      </w:pPr>
      <w:r>
        <w:rPr>
          <w:rFonts w:ascii="仿宋_GB2312" w:hAnsi="仿宋_GB2312" w:eastAsia="仿宋_GB2312"/>
          <w:b w:val="0"/>
          <w:sz w:val="32"/>
        </w:rPr>
        <w:t>建立风险预警与应对机制是提升集群韧性当务之急，以多元化与本土化对冲外部不确定性应纳入长期战略。建立风险预警与应对机制，是提升集群韧性的当务之急。以多元化与本土化对冲外部不确定性，应纳入长期战略。风险敞口的有序收敛，是集群行稳致远的重要保障。该方向的持续推进，对集群整体能级的提升具有积极意义。相关工作的系统化推进，有助于巩固集群已形成的竞争优势。</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集群发展契合《铝产业高质量发展实施方案（2025—2027年）》（工信部联原〔2025〕62号）与《山东省铝行业高质量发展行动计划（2024—2027年）》导向。顶层设计的落地实效，关键在于配套细则与要素保障的跟进。政策红利的承接能力，直接关系集群升级的实际成效。省市政策的叠加效应，为集群争取试点示范创造了有利条件。</w:t>
      </w:r>
    </w:p>
    <w:p>
      <w:pPr>
        <w:spacing w:lineRule="exact" w:line="600" w:after="0"/>
        <w:ind w:firstLine="420"/>
      </w:pPr>
      <w:r>
        <w:rPr>
          <w:rFonts w:ascii="仿宋_GB2312" w:hAnsi="仿宋_GB2312" w:eastAsia="仿宋_GB2312"/>
          <w:b w:val="0"/>
          <w:sz w:val="32"/>
        </w:rPr>
        <w:t>顶层设计落地实效关键在于配套细则与要素保障跟进，政策红利承接能力直接关系集群升级成效。顶层设计的落地实效，关键在于配套细则与要素保障的跟进。政策红利的承接能力，直接关系集群升级的实际成效。省市政策的叠加效应，为集群争取试点示范创造了有利条件。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省市政策叠加效应为集群争取试点示范创造有利条件，应主动对接省级产业布局。顶层设计的落地实效，关键在于配套细则与要素保障的跟进。政策红利的承接能力，直接关系集群升级的实际成效。省市政策的叠加效应，为集群争取试点示范创造了有利条件。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临朐县专门制定《铝加工产业发展规划》，每年安排2000万元县级财政专项资金，连续十八年举办家居门窗博览会，组织企业境内外参展。扶持政策的精准度与兑现率，是企业获得感的直接来源。把资源更多导向短板环节，能产生更明显的乘数效应。链长制统筹下的项目牵引，使扶持政策更具靶向性与实效性。该方向的持续推进，对集群整体能级的提升具有积极意义。</w:t>
      </w:r>
    </w:p>
    <w:p>
      <w:pPr>
        <w:spacing w:lineRule="exact" w:line="600" w:after="0"/>
        <w:ind w:firstLine="420"/>
      </w:pPr>
      <w:r>
        <w:rPr>
          <w:rFonts w:ascii="仿宋_GB2312" w:hAnsi="仿宋_GB2312" w:eastAsia="仿宋_GB2312"/>
          <w:b w:val="0"/>
          <w:sz w:val="32"/>
        </w:rPr>
        <w:t>链长制统筹下项目牵引使扶持政策更具靶向性与实效性，扶持精准度与兑现率是企业获得感直接来源。扶持政策的精准度与兑现率，是企业获得感的直接来源。把资源更多导向短板环节，能产生更明显的乘数效应。链长制统筹下的项目牵引，使扶持政策更具靶向性与实效性。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把资源更多导向短板环节能产生更明显乘数效应，地方政府在土地、能耗、资金方面给予重点保障。扶持政策的精准度与兑现率，是企业获得感的直接来源。把资源更多导向短板环节，能产生更明显的乘数效应。链长制统筹下的项目牵引，使扶持政策更具靶向性与实效性。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国家级铝型材质检中心提供标准制定、技术攻关、设备共享全链条服务，降低企业合规与运营成本。公共配套的完善程度，是衡量集群营商环境的重要维度。推动配套服务普惠化，有利于中小企业公平享受集群红利。检测、物流、展会等公共品的供给水平，关乎集群整体效率。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公共配套完善程度是衡量集群营商环境重要维度，推动配套服务普惠化有利于中小企业公平享受红利。公共配套的完善程度，是衡量集群营商环境的重要维度。推动配套服务普惠化，有利于中小企业公平享受集群红利。检测、物流、展会等公共品的供给水平，关乎集群整体效率。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检测、物流、展会等公共品供给水平关乎集群整体效率，需持续补短板强弱项。公共配套的完善程度，是衡量集群营商环境的重要维度。推动配套服务普惠化，有利于中小企业公平享受集群红利。检测、物流、展会等公共品的供给水平，关乎集群整体效率。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东城街道商会、窗博城等平台在技术标准、信息交流、联合参展方面发挥作用，促进企业协同。协会协同治理的深化，有助于形成政府市场互补的良善格局。赋权协会开展公共服务，可显著降低企业的制度性成本。行业自律与联合出海，是协会服务中小企业的重要着力点。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协会协同治理深化有助于形成政府市场互补良善格局，赋权协会开展公共服务可显著降低制度性成本。协会协同治理的深化，有助于形成政府市场互补的良善格局。赋权协会开展公共服务，可显著降低企业的制度性成本。行业自律与联合出海，是协会服务中小企业的重要着力点。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行业自律与联合出海是协会服务中小企业重要着力点，应进一步发挥桥梁纽带功能。协会协同治理的深化，有助于形成政府市场互补的良善格局。赋权协会开展公共服务，可显著降低企业的制度性成本。行业自律与联合出海，是协会服务中小企业的重要着力点。该方向的持续推进，对集群整体能级的提升具有积极意义。相关工作的系统化推进，有助于巩固集群已形成的竞争优势。</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年产值480余亿元（2024年），对临朐工业经济增长形成有力支撑，财税贡献持续增强。经济效应的巩固，需要规模与效率双轮驱动、互为支撑。把总量优势转化为质量优势，是效益持续提升的方向。财税贡献与产业拉动的同步增强，凸显集群的支柱地位。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经济效应巩固需要规模与效率双轮驱动，把总量优势转化为质量优势是效益持续提升方向。经济效应的巩固，需要规模与效率双轮驱动、互为支撑。把总量优势转化为质量优势，是效益持续提升的方向。财税贡献与产业拉动的同步增强，凸显集群的支柱地位。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财税贡献与产业拉动同步增强凸显集群支柱地位，成为区域经济增长重要引擎。经济效应的巩固，需要规模与效率双轮驱动、互为支撑。把总量优势转化为质量优势，是效益持续提升的方向。财税贡献与产业拉动的同步增强，凸显集群的支柱地位。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从业人员超10万人，带动数万农户就近就业，户均年增收3万元以上，就业质量同步提升。就业质量的同步提升，使集群发展成果更广泛惠及民生。技能红利的积累，将为集群长期竞争力提供人力支撑。稳定而高质量的就业，是集群社会认同的重要来源。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就业质量同步提升使集群发展成果更广泛惠及民生，技能红利积累将为长期竞争力提供人力支撑。就业质量的同步提升，使集群发展成果更广泛惠及民生。技能红利的积累，将为集群长期竞争力提供人力支撑。稳定而高质量的就业，是集群社会认同的重要来源。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稳定而高质量就业是集群社会认同重要来源，对留住本地人才具有积极意义。就业质量的同步提升，使集群发展成果更广泛惠及民生。技能红利的积累，将为集群长期竞争力提供人力支撑。稳定而高质量的就业，是集群社会认同的重要来源。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链主带动460余家关联企业在县域集聚，技术外溢与配套带动效应明显，拉动物流、餐饮等服务业繁荣。溢出效应的普惠化，是衡量集群带动力的重要标尺。通过制度化安排放大正外部性，可增强区域整体竞争力。技术外溢与配套带动，使集群成为区域增长的强劲引擎。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溢出效应普惠化是衡量集群带动力重要标尺，技术外溢与配套带动使集群成为区域增长强劲引擎。溢出效应的普惠化，是衡量集群带动力的重要标尺。通过制度化安排放大正外部性，可增强区域整体竞争力。技术外溢与配套带动，使集群成为区域增长的强劲引擎。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通过制度化安排放大正外部性可增强区域整体竞争力，带动上下游协同发展。溢出效应的普惠化，是衡量集群带动力的重要标尺。通过制度化安排放大正外部性，可增强区域整体竞争力。技术外溢与配套带动，使集群成为区域增长的强劲引擎。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发展提升临朐“中国铝业之都”城市产业辨识度与社会认同，富民与兴城相统一彰显综合价值。社会认同的巩固，为集群营造了更为友好包容的发展环境。在发展中履行责任，有助于赢得社会各界的长期支持。富民与兴城相统一，彰显了特色产业集群的综合价值。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在发展中履行责任有助于赢得社会各界长期支持，社会认同巩固为集群营造友好包容发展环境。社会认同的巩固，为集群营造了更为友好包容的发展环境。在发展中履行责任，有助于赢得社会各界的长期支持。富民与兴城相统一，彰显了特色产业集群的综合价值。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产业集群品牌建设让单个企业站在“巨人肩膀上”，增强区域整体竞争力。社会认同的巩固，为集群营造了更为友好包容的发展环境。在发展中履行责任，有助于赢得社会各界的长期支持。富民与兴城相统一，彰显了特色产业集群的综合价值。该方向的持续推进，对集群整体能级的提升具有积极意义。相关工作的系统化推进，有助于巩固集群已形成的竞争优势。</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集群规模优势突出，但建筑铝材占比偏高、产品同质化与价格内卷、中小企业转型困难等问题仍存。问题清单的厘清，为后续精准施策提供了清晰的坐标系。坚持系统观念破题，方能避免局部优化带来的整体失衡。把问题作为着力点，可使后续对策更具针对性与操作性。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外部面临房地产下行与贸易摩擦多重压力，要素约束下绿色高效发展压力仍存。问题清单的厘清，为后续精准施策提供了清晰的坐标系。坚持系统观念破题，方能避免局部优化带来的整体失衡。把问题作为着力点，可使后续对策更具针对性与操作性。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问题清单厘清为后续精准施策提供清晰坐标系，把问题作为着力点可使对策更具针对性。问题清单的厘清，为后续精准施策提供了清晰的坐标系。坚持系统观念破题，方能避免局部优化带来的整体失衡。把问题作为着力点，可使后续对策更具针对性与操作性。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应跳出建筑铝材单一赛道，向汽车轻量化、航空航天、光伏储能等高端工业材延伸，构建多元差异化格局。三链协同推进，是重塑集群价值结构与韧性的根本路径。延伸环节必须守住绿色底线，防止低水平重复建设。补链与强链并举，才能从根本上提升产业链自主可控水平。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三链协同推进是重塑集群价值结构与韧性根本路径，延伸环节必须守住绿色底线。三链协同推进，是重塑集群价值结构与韧性的根本路径。延伸环节必须守住绿色底线，防止低水平重复建设。补链与强链并举，才能从根本上提升产业链自主可控水平。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补链与强链并举才能根本提升产业链自主可控水平，巩固全链条配套优势同时拓展新增长极。三链协同推进，是重塑集群价值结构与韧性的根本路径。延伸环节必须守住绿色底线，防止低水平重复建设。补链与强链并举，才能从根本上提升产业链自主可控水平。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巩固华建铝业链主地位，培育广华、伟盛、东铝、米兰之窗等后备企业上规模上水平，形成梯次。梯次培育的精髓，在于让各类企业都能找到成长通道。精准滴灌胜过撒胡椒面，方能培育出更多隐形冠军。大中小企业融通发展，是巩固集群根基的持久之策。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梯次培育精髓在于让各类企业都能找到成长通道，精准滴灌胜过撒胡椒面。梯次培育的精髓，在于让各类企业都能找到成长通道。精准滴灌胜过撒胡椒面，方能培育出更多隐形冠军。大中小企业融通发展，是巩固集群根基的持久之策。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大中小企业融通发展是巩固集群根基持久之策，应强化链主对中小企业配套牵引。梯次培育的精髓，在于让各类企业都能找到成长通道。精准滴灌胜过撒胡椒面，方能培育出更多隐形冠军。大中小企业融通发展，是巩固集群根基的持久之策。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支持链主与配套企业共建创新联合体，依托国家级质检中心攻关汽车轻量化、航空航天用铝合金等卡脖子技术。创新资源的开放共享，是缩小企业间能力鸿沟的关键。以企业为主体、市场为导向，才能保证创新不偏离产业。平台与人才双轮支撑，方能筑牢集群高端化的创新根基。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创新资源开放共享是缩小企业间能力鸿沟关键，以企业为主体、市场为导向保证创新不偏离产业。创新资源的开放共享，是缩小企业间能力鸿沟的关键。以企业为主体、市场为导向，才能保证创新不偏离产业。平台与人才双轮支撑，方能筑牢集群高端化的创新根基。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平台与人才双轮支撑方能筑牢集群高端化创新根基，应完善中试与工程化服务。创新资源的开放共享，是缩小企业间能力鸿沟的关键。以企业为主体、市场为导向，才能保证创新不偏离产业。平台与人才双轮支撑，方能筑牢集群高端化的创新根基。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在园区内统筹土地、能耗指标向重点项目倾斜，保障再生铝与高端铝基新材料项目建设要素。要素配置的精准高效，是高端化转型不可或缺的底盘。在约束中谋发展，更需依靠集约与节约释放新空间。用地、能耗、资本的协同保障，将支撑集群可持续扩张。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要素配置精准高效是高端化转型不可或缺底盘，在约束中谋发展更需依靠集约节约。要素配置的精准高效，是高端化转型不可或缺的底盘。在约束中谋发展，更需依靠集约与节约释放新空间。用地、能耗、资本的协同保障，将支撑集群可持续扩张。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用地、能耗、资本协同保障将支撑集群可持续扩张，拓宽直接融资渠道缓解资金瓶颈。要素配置的精准高效，是高端化转型不可或缺的底盘。在约束中谋发展，更需依靠集约与节约释放新空间。用地、能耗、资本的协同保障，将支撑集群可持续扩张。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由给优惠转向建生态，以企业获得感校准政策，确保改革举措落地见效。政策优化的终极目标，是造就近悦远来的优质营商环境。以企业获得感校准政策，方能确保改革举措落地见效。由给优惠转向建生态，是政策供给方式升级的必然取向。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政策优化终极目标是造就近悦远来优质营商环境，以企业获得感校准政策方能确保落地。政策优化的终极目标，是造就近悦远来的优质营商环境。以企业获得感校准政策，方能确保改革举措落地见效。由给优惠转向建生态，是政策供给方式升级的必然取向。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由给优惠转向建生态是政策供给方式升级必然取向，应主动争取省级试点示范与要素倾斜。政策优化的终极目标，是造就近悦远来的优质营商环境。以企业获得感校准政策，方能确保改革举措落地见效。由给优惠转向建生态，是政策供给方式升级的必然取向。该方向的持续推进，对集群整体能级的提升具有积极意义。相关工作的系统化推进，有助于巩固集群已形成的竞争优势。</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临朐县人民政府. 临朐首次！全市唯一！临朐县铝型材制品产业集群荣获国家级中小企业特色产业集群. http://linqu.gov.cn/lqdt/bmdt/202511/t20251103_670879.html</w:t>
      </w:r>
    </w:p>
    <w:p>
      <w:pPr>
        <w:spacing w:lineRule="exact" w:line="600" w:after="0"/>
        <w:ind w:firstLine="0"/>
      </w:pPr>
      <w:r>
        <w:rPr>
          <w:rFonts w:ascii="仿宋_GB2312" w:hAnsi="仿宋_GB2312" w:eastAsia="仿宋_GB2312"/>
          <w:b w:val="0"/>
          <w:sz w:val="32"/>
        </w:rPr>
        <w:t>2. 山东省工业和信息化厅. 潍坊临朐县：铝产业集群加冕“国字号”. http://gxt.shandong.gov.cn/art/2025/11/12/art_15166_10353466.html</w:t>
      </w:r>
    </w:p>
    <w:p>
      <w:pPr>
        <w:spacing w:lineRule="exact" w:line="600" w:after="0"/>
        <w:ind w:firstLine="0"/>
      </w:pPr>
      <w:r>
        <w:rPr>
          <w:rFonts w:ascii="仿宋_GB2312" w:hAnsi="仿宋_GB2312" w:eastAsia="仿宋_GB2312"/>
          <w:b w:val="0"/>
          <w:sz w:val="32"/>
        </w:rPr>
        <w:t>3. 潍坊市工业和信息化局. 临朐铝型材产业集群入选工信部2025年度中小企业特色产业集群名单. https://jsj.weifang.gov.cn/55341/1306556197.html</w:t>
      </w:r>
    </w:p>
    <w:p>
      <w:pPr>
        <w:spacing w:lineRule="exact" w:line="600" w:after="0"/>
        <w:ind w:firstLine="0"/>
      </w:pPr>
      <w:r>
        <w:rPr>
          <w:rFonts w:ascii="仿宋_GB2312" w:hAnsi="仿宋_GB2312" w:eastAsia="仿宋_GB2312"/>
          <w:b w:val="0"/>
          <w:sz w:val="32"/>
        </w:rPr>
        <w:t>4. 临朐县人民政府. 对县政协十一届四次会议第114016号提案（关于推动铝型材产业转型升级的建议）的答复. https://www.linqu.gov.cn/102/7456/1939858967811461120.html</w:t>
      </w:r>
    </w:p>
    <w:p>
      <w:pPr>
        <w:spacing w:lineRule="exact" w:line="600" w:after="0"/>
        <w:ind w:firstLine="0"/>
      </w:pPr>
      <w:r>
        <w:rPr>
          <w:rFonts w:ascii="仿宋_GB2312" w:hAnsi="仿宋_GB2312" w:eastAsia="仿宋_GB2312"/>
          <w:b w:val="0"/>
          <w:sz w:val="32"/>
        </w:rPr>
        <w:t>5. 中国城市报（人民网）. 产业聚链冲高 品牌创优向新. https://paper.people.com.cn/zgcsb/pad/content/202603/16/content_30145515.html</w:t>
      </w:r>
    </w:p>
    <w:p>
      <w:pPr>
        <w:spacing w:lineRule="exact" w:line="600" w:after="0"/>
        <w:ind w:firstLine="0"/>
      </w:pPr>
      <w:r>
        <w:rPr>
          <w:rFonts w:ascii="仿宋_GB2312" w:hAnsi="仿宋_GB2312" w:eastAsia="仿宋_GB2312"/>
          <w:b w:val="0"/>
          <w:sz w:val="32"/>
        </w:rPr>
        <w:t>6. 中国山东网/齐鲁网. 潍坊临朐走出县域传统制造业高质量发展新路. https://news.iqilu.com/shandong/shandonggedi/20260611/5921117.shtml</w:t>
      </w:r>
    </w:p>
    <w:p>
      <w:pPr>
        <w:spacing w:lineRule="exact" w:line="600" w:after="0"/>
        <w:ind w:firstLine="0"/>
      </w:pPr>
      <w:r>
        <w:rPr>
          <w:rFonts w:ascii="仿宋_GB2312" w:hAnsi="仿宋_GB2312" w:eastAsia="仿宋_GB2312"/>
          <w:b w:val="0"/>
          <w:sz w:val="32"/>
        </w:rPr>
        <w:t>7. 临朐县人民政府. 临朐县获评2025年度县域经济高质量发展成效显著的县. https://www.linqu.gov.cn/lqdt/zwyw/202608/t20260807_739425.html</w:t>
      </w:r>
    </w:p>
    <w:p>
      <w:pPr>
        <w:spacing w:lineRule="exact" w:line="600" w:after="0"/>
        <w:ind w:firstLine="0"/>
      </w:pPr>
      <w:r>
        <w:rPr>
          <w:rFonts w:ascii="仿宋_GB2312" w:hAnsi="仿宋_GB2312" w:eastAsia="仿宋_GB2312"/>
          <w:b w:val="0"/>
          <w:sz w:val="32"/>
        </w:rPr>
        <w:t>8. 山东华建铝业集团有限公司官网. 企业简介. https://www.huajian-al.com/index.html</w:t>
      </w:r>
    </w:p>
    <w:p>
      <w:pPr>
        <w:spacing w:lineRule="exact" w:line="600" w:after="0"/>
        <w:ind w:firstLine="0"/>
      </w:pPr>
      <w:r>
        <w:rPr>
          <w:rFonts w:ascii="仿宋_GB2312" w:hAnsi="仿宋_GB2312" w:eastAsia="仿宋_GB2312"/>
          <w:b w:val="0"/>
          <w:sz w:val="32"/>
        </w:rPr>
        <w:t>9. 齐鲁壹点/今日头条. 潍坊临朐连续五年上榜全省县域经济高质量发展显著县. https://www.toutiao.com/article/7671198012055536171/</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