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山东省冠县镀涂钢板制品产业集群发展研究报告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冠县镀涂钢板制品产业集群位于聊城市冠县，依托县经济开发区集聚发展，于2024年8月入选国家级中小企业特色产业集群，是冠县首个国家级特色产业集群。经开区承载主要产能。这一认定提升冠县地位。产品体系较为完整。五十年积累形成影响。这一判断基于冠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集群以镀涂钢板制品为主导，涵盖冷轧、镀锌、彩涂等板材及交通工程设施，产业链配套较为完整。冠县全县特色产业集群数量居全市第一，其中国家级一个、省级三个、市级八个。经开区承载主要产能。这一认定提升冠县地位。产品体系较为完整。五十年积累形成影响。这一判断基于冠县公开产业信息与集群发展实际。上述情况反映了集群所处的发展阶段与区域特征。</w:t>
      </w:r>
    </w:p>
    <w:p>
      <w:pPr>
        <w:spacing w:lineRule="exact" w:line="600" w:after="0"/>
        <w:ind w:firstLine="420"/>
      </w:pPr>
      <w:r>
        <w:rPr>
          <w:rFonts w:ascii="仿宋_GB2312" w:hAnsi="仿宋_GB2312" w:eastAsia="仿宋_GB2312"/>
          <w:b w:val="0"/>
          <w:sz w:val="32"/>
        </w:rPr>
        <w:t>据公开数据，冠县镀涂钢板制品产业集群集聚钢板相关企业一千二百余家，是江北重要的钢板加工基地。这一认定标志着冠县从传统钢板加工迈向国家级特色产业阵营。经开区承载主要产能。这一认定提升冠县地位。产品体系较为完整。五十年积累形成影响。这一判断基于冠县公开产业信息与集群发展实际。上述情况反映了集群所处的发展阶段与区域特征。</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冠县经开区精品钢板企业一百三十余家，其中规模以上企业六十八家，从业人员九千七百余人，年加工能力一千一百万吨，居全省第一、全国第五。产业规模居全省前列。从业人员近万人。规上企业支撑有力。全国份额领先。这一判断基于冠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冠县全县钢板加工年产能约一千六百万吨，居全省第二；交通工程设施年产能九百万吨，占全国比重六成以上，规模优势突出。产业规模居全省前列。从业人员近万人。规上企业支撑有力。全国份额领先。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2024年，冠县钢板加工产业规模以上企业完成产值一百六十四点三亿元，同比增长百分之四点二，占全县规上工业总产值的百分之六十六点三，支柱地位稳固。产业规模居全省前列。从业人员近万人。规上企业支撑有力。全国份额领先。这一判断基于冠县公开产业信息与集群发展实际。上述情况反映了集群所处的发展阶段与区域特征。相关进展在县级公开报道中有据可查。</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镀涂钢板制品，涵盖冷轧板、镀锌板、彩涂板及护栏板等交通工程设施，产品体系较为完善，下游应用广泛。产品覆盖主要品类。高性能是升级主线。龙头带动配套。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龙头企业冠洲股份年产冷轧板二百万吨、镀锌板一百六十万吨、彩涂板一百三十万吨，是全国涂镀层板材品种齐全的单体产能最大企业之一。产品覆盖主要品类。下游应用广泛。高性能是升级主线。龙头带动配套。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产品应用于北京大兴、广州白云、青岛胶东等国际机场，北京冬奥会国家速滑馆、火神山医院及海外重大工程，市场认可度较高。产品覆盖主要品类。下游应用广泛。高性能是升级主线。龙头带动配套。这一判断基于冠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具备从冷轧、镀锌到彩涂及深加工较为完整的链条，上游连接钢坯与热轧原料，中游为镀涂加工，下游延伸到交通工程设施与建筑装饰应用。配套体系较完整。核心工艺短板仍存。链主带动效应显现。本地配套率较高。这一判断基于冠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链条各环节在区内均有布局，本地配套率较高，龙头带动中小微企业协同发展。短板在于高端合金基板与部分深加工装备仍部分依赖外部。配套体系较完整。核心工艺短板仍存。链主带动效应显现。本地配套率较高。这一判断基于冠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产业生态以经开区为核心，配套企业环绕，整体产业链完整度在县级钢板集群中处于较高水平，链主企业统筹配置作用明显。配套体系较完整。核心工艺短板仍存。链主带动效应显现。本地配套率较高。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基板、关键涂层技术与部分核心装备仍部分依赖外部，制约了高附加值产品比重与利润率提升，自主创新能力有待加强。同质化需标准规范。自主可控是补链目标。工艺能力短板待补。低端重复需控。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中小企业多处于中游加工环节，产品同质化与低端竞争并存，品牌与渠道溢价不足。研发设计与终端应用能力不均衡。同质化需标准规范。自主可控是补链目标。工艺能力短板待补。低端重复需控。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需重点关注高端涂层与终端部件自主化，通过产学研合作补齐工艺短板，减少低端重复建设，推动产业链向高附加值环节攀升。同质化需标准规范。自主可控是补链目标。工艺能力短板待补。低端重复需控。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以材料与加工环节为主，处于全球价值链中低端向中高端攀升阶段，高强度汽车钢板与高端彩涂环节附加值逐步提升。价值捕获能力增强。高端化成新趋势。向方案商转型前景广。加工环节是主体。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通过绿色化与高端化改造，价值链向高强度汽车板、超薄镀锌等高性能产品延伸，价值捕获能力稳步增强。价值捕获能力增强。高端化成新趋势。向方案商转型前景广。加工环节是主体。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从价值链看，冠县正由板材供应商向功能化、专用化钢板解决方案提供商转型，研发与品牌环节的强化将提升全链条价值捕获能力。价值捕获能力增强。高端化成新趋势。向方案商转型前景广。加工环节是主体。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龙头企业专注基板、镀涂与品牌渠道，中小微企业专注加工配套与交通工程设施制造，形成龙头引领、专业配套的分工格局。专业化降交易成本。链主统筹配置产能。空间集聚红利释放。龙头配套格局稳。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链主企业发挥技术与资质优势，整合区域产能；中小微企业围绕龙头形成专业化的零部件供应网络，降低了重复投资与恶性竞争。专业化降交易成本。链主统筹配置产能。空间集聚红利释放。龙头配套格局稳。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分工体系依托经开区载体与链长制引导，推动结构优化。专业化分工使集群在成本与交付效率上保持较强竞争力。专业化降交易成本。链主统筹配置产能。空间集聚红利释放。龙头配套格局稳。这一判断基于冠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集聚钢板相关企业一千二百余家，其中规模以上企业六十八家，呈现龙头突出、中小配套的特征，企业数量多而分布较散。优质梯队逐步形成。规上支撑作用明显。中小企业转型空间大。企业数量多而散。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冠洲股份等骨干企业规模较大，在行业中具有引领作用。通过整治提升与数字化转型，产业集中度与规上企业质量近年明显提升。优质梯队逐步形成。规上支撑作用明显。中小企业转型空间大。企业数量多而散。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中小企业向专精特新方向转型，是未来提升整体规模结构、增强产业抗风险能力的关键着力点，优质企业梯队逐步形成。优质梯队逐步形成。规上支撑作用明显。中小企业转型空间大。企业数量多而散。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经济和民营中小企业为主体，产权清晰、机制灵活，市场化程度高，能够快速响应市场需求变化。民营机制灵活。混改稳步推进。治理现代化提升。本土企业为主力。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龙头企业多为本土成长起来的民营企业，如冠洲股份等，通过品牌、资质与认证优势整合区域产能。外资企业占比较少。民营机制灵活。混改稳步推进。治理现代化提升。本土企业为主力。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部分龙头企业在股份制改造与规范化治理方面稳步推进，为对接资本市场和扩大再生产奠定基础，整体产权结构适配发展阶段。民营机制灵活。混改稳步推进。治理现代化提升。本土企业为主力。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冠洲股份是集群龙头企业，年产冷轧、镀锌、彩涂板材数百万吨，是全国涂镀层板材品种齐全的单体产能最大企业之一，品牌与技术引领突出。头部发挥压舱石作用。高性能产品领先。品牌技术引领突出。链主整合产能。这一判断基于冠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仁泽复合材料、鲁盟威、科兹曼复合材料等重点企业在高性能镀层、超薄钢卷等领域各具优势，科兹曼0.085毫米镀锌钢卷产值达十亿元。头部发挥压舱石作用。高性能产品领先。品牌技术引领突出。链主整合产能。这一判断基于冠县公开产业信息与集群发展实际。上述情况反映了集群所处的发展阶段与区域特征。相关进展在县级公开报道中有据可查。</w:t>
      </w:r>
    </w:p>
    <w:p>
      <w:pPr>
        <w:spacing w:lineRule="exact" w:line="600" w:after="0"/>
        <w:ind w:firstLine="420"/>
      </w:pPr>
      <w:r>
        <w:rPr>
          <w:rFonts w:ascii="仿宋_GB2312" w:hAnsi="仿宋_GB2312" w:eastAsia="仿宋_GB2312"/>
          <w:b w:val="0"/>
          <w:sz w:val="32"/>
        </w:rPr>
        <w:t>头部企业普遍加大研发投入与智能化改造，建设智能园区与数字化车间，在品牌、技术与市场上发挥压舱石作用，带动集群迈向中高端。头部发挥压舱石作用。高性能产品领先。品牌技术引领突出。链主整合产能。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高度集聚于冠县经开区，形成连片产业基地，地理邻近显著降低配套与物流成本，促进技术外溢与管理经验扩散。集聚质量显著提升。产城融合加快。生态协同增强。地理邻近降本。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以园区为载体，分级分类培育，推动结构优化。工业互联网标识解析二级节点接入企业四百二十五家，产业集聚质量显著提升。产城融合加快。生态协同增强。地理邻近降本。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集聚区配套完善，形成原料采购、生产制造、检测认证、物流配送一体化的产业生态，增强区域整体竞争力与协同效率。集聚质量显著提升。产城融合加快。生态协同增强。地理邻近降本。这一判断基于冠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经费投入持续增长，龙头企业研发投入强度较高，规上企业普遍设立研发部门，研发投入占营收比重稳步提升。研发强度逐年提高。产学研合作深入。人才支撑夯实。规上普遍设研发部。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冠县推动企业与高校院所开展合作，攻关高强度汽车板与环保涂层等关键技术，企业创新意识增强，研发成为提升产品性能的主要支撑。研发强度逐年提高。产学研合作深入。人才支撑夯实。规上普遍设研发部。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需持续加大研发投入，力争在高端基板与功能涂层领域取得突破，以研发驱动产品由普通板材向高强、耐蚀、绿色方向升级。研发强度逐年提高。产学研合作深入。人才支撑夯实。规上普遍设研发部。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冠洲股份是全国唯一可生产七百八十兆帕、一千兆帕高强度汽车钢板的民营钢铁企业，产品性能达到行业先进水平，创新成果突出。高强钢成果突出。出口优势明显。标准制定成效显。专利成果丰硕。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冠洲连续十二年出口俄罗斯彩涂板数量居全国第一，中国驰名商标影响力凸显，创新产出在高端镀涂方向优势明显。高强钢成果突出。出口优势明显。标准制定成效显。专利成果丰硕。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集群累计取得大量专利与科技成果，超薄镀锌、高性能涂层等新产品实现产业化，标准制定与质量提升成效显著。高强钢成果突出。出口优势明显。标准制定成效显。专利成果丰硕。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建设企业技术中心与研发中心，龙头企业牵头开展共性技术攻关，为行业提供技术与检测支撑，平台开放共享水平提升。平台开放共享。共性攻关加速。服务中小企增强。研究院筹建中。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冠洲集团筹建冠洲涂镀研究院，相关中试与研发平台向中小企业开放，降低研发门槛，共性技术攻关加速。平台开放共享。共性攻关加速。服务中小企增强。研究院筹建中。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依托产业大脑与工业互联网平台，集群构建协同创新网络，促进技术、人才与设备共享，提升区域整体创新效率。平台开放共享。共性攻关加速。服务中小企增强。研究院筹建中。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通过产学研合作，超薄镀锌、高强度汽车板等成果加快产业化，转化为现实生产力，中试载体提升转化效率。成果转化提效。数字化赋能明显。市场导向机制健全。中试载体有效。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集群推进数字化转型，精品钢板列入省级产业大脑建设试点，工业互联网二级节点接入企业四百二十五家，数字化赋能明显。成果转化提效。市场导向机制健全。中试载体有效。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技术转化以市场为导向，龙头企业示范带动中小企业应用新技术新工艺，推动产品向高效、高端、绿色方向升级。成果转化提效。数字化赋能明显。市场导向机制健全。中试载体有效。这一判断基于冠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从业人员九千七百余人，涵盖轧制、镀锌、涂装、质检等多工种技能工人，本地职业教育为产业输送技能人才。技能供给总体稳定。高端人才仍不足。培训体系完善。多工种配套。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通过引进高层次人才与校企联合培养，弥补研发与设计短板。龙头企业与高校联合培养工程人才，缓解关键技术岗位供需矛盾。技能供给总体稳定。高端人才仍不足。培训体系完善。多工种配套。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需重点关注高端研发与工艺人才短缺问题，进一步完善人才引育留用机制，提升劳动者技能结构与产业高端化需求匹配度。技能供给总体稳定。高端人才仍不足。培训体系完善。多工种配套。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金融机构加大对钢板产业信贷支持，冠县设立产业引导与技改奖补资金，支持企业技术改造与智能化升级，企业自筹资金仍占主导。金融支持加大。龙头资本雄厚。融资渠道待拓宽。奖补撬动明显。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龙头企业资本实力较强，带动配套投资。直接融资比例偏低，需拓展股权融资、供应链金融等渠道，缓解中小企业融资难。金融支持加大。龙头资本雄厚。融资渠道待拓宽。奖补撬动明显。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产业基金与政策奖补的精准投放，对优质企业梯度培育作用明显，资本要素支撑高质量发展的能力逐步增强。金融支持加大。龙头资本雄厚。融资渠道待拓宽。奖补撬动明显。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产业园区土地资源集约利用，通过优化布局保障优质项目落地空间，提升单位土地产出效益，集约用地成效明显。集约用地见效。能耗强度下降。绿色发展导向清。单位产出提升。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依托循环化改造与绿色制造，单位产值能耗持续下降，绿色制造成为发展方向，能耗双控压力总体可控，能耗强度持续下降。集约用地见效。能耗强度下降。绿色发展导向清。单位产出提升。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集群推进清洁生产与节能设备应用，园区产城融合水平提升，土地与能耗要素支撑产业向中高端迈进的能力增强。集约用地见效。能耗强度下降。绿色发展导向清。单位产出提升。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主要原材料为钢坯、热轧卷等，依赖外部采购，本地不产大宗原料，物流成本与供应稳定性受到关注，依赖外部原料。供应链韧性需增。陆港降成本。价格波动风险存。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冠州国际陆港建设改善原材料集采与产品外运，年货运能力一千八百万吨，降低物流成本约十亿元，供应链韧性增强。供应链韧性需增。陆港降成本。价格波动风险存。依赖外部原料。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集群通过集采与陆港布局降低供应链风险，但原材料价格大幅波动仍会挤压利润，需加强供应链韧性与库存管理。供应链韧性需增。陆港降成本。价格波动风险存。依赖外部原料。这一判断基于冠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产品行销全国，镀涂钢板与交通工程设施在国内基建、建筑与交通领域占有重要份额，护栏板等产品应用广泛。内需空间广阔。新需求带动增长。平台赋能接单。行销全国市场。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国内新基建、交通与绿色建筑建设带动高端板材与交通设施需求增长，为集群扩大国内市场份额提供持续动力，内需空间广阔。新需求带动增长。平台赋能接单。行销全国市场。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依托产业大脑与电商平台，集群实现供需高效匹配，提升了国内市场的响应速度与服务能力，平台赋能接单效率。内需空间广阔。新需求带动增长。平台赋能接单。行销全国市场。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冠县钢板制品出口一百二十多个国家和地区，冠洲连续十二年出口俄罗斯彩涂板数量居全国第一，出口稳步增长。出海步伐加快。海外布局完善。贸易壁垒需应对。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出口以镀涂板材与交通设施为主，面向一带一路及新兴市场，据不完全统计出口规模呈稳定增长态势，海外布局完善。出海步伐加快。贸易壁垒需应对。出口稳步增长。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国际经贸平台助力企业开拓海外市场，但需应对贸易壁垒与认证差异，增强全球市场抗风险水平与品牌能见度。出海步伐加快。海外布局完善。贸易壁垒需应对。出口稳步增长。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冠洲股份中国驰名商标影响力凸显，区域钢板品牌依托龙头企业与重大工程应用逐步树立，自主品牌培育加强。区域品牌树立。自主品牌培育强。影响力仍有差距。驰名商标突出。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精品钢板列入省级产业大脑试点，集群参与标准制定与质量提升，品牌影响力在行业内稳步提升，影响力仍有差距。区域品牌树立。自主品牌培育强。驰名商标突出。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品牌影响力较先进地区仍有差距，需持续强化区域公用品牌推广，推动中小企业从贴牌代工向自主品牌与标准输出转变。区域品牌树立。自主品牌培育强。影响力仍有差距。驰名商标突出。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绿色建筑、交通基建与新能源设施新需求增长，带动高强、耐蚀、彩涂板材需求，客户对品质与环保要求显著提高，需求结构升级。定制化趋势明显。存量改造潜力大。低碳功能演进。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定制化与功能化产品需求上升，倒逼企业提升设计能力与交付水平。公共与交通领域存量改造市场提供新增长空间。需求结构升级。定制化趋势明显。存量改造潜力大。低碳功能演进。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需求端向高效、低碳、功能化演进，推动产品结构由单一板材向专用化解决方案升级，对企业技术储备提出更高要求。需求结构升级。定制化趋势明显。存量改造潜力大。低碳功能演进。这一判断基于冠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冠县与省内外钢板加工集群同台竞争，在产能规模与成本管控上具备较强竞争力，但高端产品与品牌仍面临先进地区压力。竞争格局分化。成本优势突出。差异化是关键。与先进地区同台。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国内板材产能充裕，价格竞争激烈。冠县凭借完整链条、龙头优势与物流条件，在北方市场保持较强竞争力，成本优势突出。竞争格局分化。差异化是关键。与先进地区同台。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需以差异化与品质提升应对竞争，强化区域品牌与专精特新发展，避免在低端环节陷入同质化价格战，差异化是关键。竞争格局分化。成本优势突出。与先进地区同台。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中小企业同质化竞争明显，产品附加值偏低，部分企业以粗加工和价格竞争为主，品牌建设滞后，低水平重复有待破解。低水平重复待解。品牌短板明显。数字化待提升。同质化竞争突出。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高端基板与终端应用依赖外购，研发设计与系统集成能力不均衡，人才结构性短缺，部分企业管理与数字化水平有待提升。低水平重复待解。品牌短板明显。数字化待提升。同质化竞争突出。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需通过数字赋能与标准提升，解决内部低水平重复问题，引导企业向专精特新与高质量发展转型，提升整体质效。低水平重复待解。品牌短板明显。数字化待提升。同质化竞争突出。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房地产、基建与制造业投资波动会影响板材需求，宏观需求变化对集群订单稳定性构成挑战，需关注下游行业周期，周期波动需警惕。原料价格敏感。外部环境不确定。贸易壁垒存挑战。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钢材等原材料价格大幅波动会挤压企业利润空间，出口面临贸易壁垒与汇率风险，外部环境不确定性上升，原料价格敏感。周期波动需警惕。外部环境不确定。贸易壁垒存挑战。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需重点关注产业政策、环保标准与国际贸易环境变化，增强供应链韧性，推动市场与产品多元化以分散外部风险。周期波动需警惕。原料价格敏感。外部环境不确定。贸易壁垒存挑战。这一判断基于冠县公开产业信息与集群发展实际。上述情况反映了集群所处的发展阶段与区域特征。相关进展在县级公开报道中有据可查。集群的后续演进值得持续跟踪观察。</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中小企业特色产业集群政策与山东省特色产业集群培育政策为冠县钢板产业指明方向，2024年入选国家级集群获政策与资源倾斜。政策红利释放。导向清晰明确。形成上下合力。链式发展强调。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绿色低碳与智能制造导向明确，鼓励产业集群提升创新能力和产业链协同水平，为冠县申报与建设国家级集群提供政策依据。政策红利释放。导向清晰明确。形成上下合力。链式发展强调。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顶层政策强调链式发展与数字化转型，引导集群补短板锻长板，与冠县产业升级路径高度契合，形成上下联动的政策合力。政策红利释放。导向清晰明确。形成上下合力。链式发展强调。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冠县将精品钢板作为主导产业重点扶持，设立技改奖补资金，推进数字化与绿色化改造，精准服务见效。基金撬动明显。营商环境优化。培育提升质量。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通过链长制统筹招商、创新与要素配置，支持企业认证申请、技术升级与人才引进，产业培育质效提升，基金撬动作用明显。精准服务见效。基金撬动明显。营商环境优化。培育提升质量。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成立专项工作机制，编制产业投资导向目录，优化营商环境，形成政府引导、市场主导的良性推进机制，营商环境持续优化。精准服务见效。基金撬动明显。营商环境优化。培育提升质量。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冠县建设专业园区、检测平台与物流设施，冠州国际陆港提升集采与外运能力，园区承载力较强。园区承载力强。数字平台赋能。服务体系健全。陆港提效能。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精品钢板、灵芝产业列入省级产业大脑建设试点，工业互联网标识解析二级节点接入企业四百二十五家，数字平台赋能明显。园区承载力强。数字平台赋能。服务体系健全。陆港提效能。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检测认证、中试与人才培训等公共配套逐步健全，降低了中小企业创新创业成本，优化了集群发展的基础环境。园区承载力强。数字平台赋能。服务体系健全。陆港提效能。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标准制定、展会组织与协同创新方面发挥重要作用，促进行业自律与协同发展，行业自律加强。标准引领显著。抱团发展有力。协会架桥纽带。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协会推动企业联合攻关与标准提升，增强行业规范化水平与产品质量一致性，标准引领作用显著。行业自律加强。标准引领显著。抱团发展有力。协会架桥纽带。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政企协共建创新生态，协会在品牌推广与企业交流中架起桥梁，减少恶性竞争、增强集群凝聚力，抱团发展有力。行业自律加强。标准引领显著。协会架桥纽带。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2024年钢板加工规上产值一百六十四点三亿元，占全县规上工业近七成，是冠县经济支柱，规模以上工业支撑有力，支柱地位稳固。财政贡献突出。链式协同高效。产值占比近七成。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龙头企业带动上下游产值增长，链式协同提升整体经济效率。入选国家级集群后，政策与资源导入进一步放大经济效应。支柱地位稳固。财政贡献突出。链式协同高效。产值占比近七成。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镀涂钢板制品产业对县域生产总值的贡献突出，是冠县从农业大县向制造强县跨越的核心引擎，财政支撑作用显著。支柱地位稳固。财政贡献突出。链式协同高效。产值占比近七成。这一判断基于冠县公开产业信息与集群发展实际。上述情况反映了集群所处的发展阶段与区域特征。相关进展在县级公开报道中有据可查。集群的后续演进值得持续跟踪观察。</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从业人员九千七百余人，吸纳本地及外来劳动力，技能岗位稳定，带动城镇就业与居民增收，社会效益明显，吸纳就业能力强。吸纳就业强。技能岗位活跃。技能提升明显。带动相关服务。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技改与智能工厂建设创造高质量技能岗位，产教融合与技能培训提升劳动者素质，配套服务就业活跃。吸纳就业强。技能岗位活跃。技能提升明显。带动相关服务。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发展带动相关服务业就业，形成产业与人才良性互动的就业吸纳格局，技能提升明显，促进社会稳定。吸纳就业强。技能岗位活跃。技能提升明显。带动相关服务。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带动物流、商贸服务等关联产业发展，技术外溢提升区域制造水平，促进配套体系完善与城镇繁荣，关联带动显著。城镇繁荣提速。数字外溢明显。带动关联产业。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冠县因产业集群实现产城融合，基础设施与公共服务显著改善，形成以产业集聚带动区域全面发展的溢出效应。关联带动显著。城镇繁荣提速。数字外溢明显。带动关联产业。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大脑与工业互联网等新模式外溢至其他产业，为县域数字化转型提供经验，增强区域经济发展的整体韧性。关联带动显著。城镇繁荣提速。数字外溢明显。带动关联产业。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产业集群提升冠县在全国的知名度，促进公共服务改善与城市功能提升，增强居民获得感与归属感，知名度提升明显。知名度提升。生态环境改善。民生投入增加。环保意识增强。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绿色低碳与质量提升行动推动企业树牢环保意识，绿色发展改善生态环境质量，社会效益持续显现，生态环境改善。知名度提升。民生投入增加。环保意识增强。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产业高质量发展带动教育、医疗等民生投入，形成经济发展与社会进步良性循环的县域治理新格局，民生投入增加。知名度提升。生态环境改善。环保意识增强。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冠县镀涂钢板制品集群已实现从规模扩张到品质提升的关键跨越，但高端基板依赖、同质化竞争等问题仍需系统破解。跨越成效明显。短板仍需补齐。系统施策关键。高端化待突破。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品牌影响力较先进地区偏弱，研发设计与终端应用能力不均衡，人才结构性短缺制约高端化步伐，需持续补齐短板。跨越成效明显。短板仍需补齐。系统施策关键。高端化待突破。这一判断基于冠县公开产业信息与集群发展实际。上述情况反映了集群所处的发展阶段与区域特征。相关进展在县级公开报道中有据可查。集群的后续演进值得持续跟踪观察。</w:t>
      </w:r>
    </w:p>
    <w:p>
      <w:pPr>
        <w:spacing w:lineRule="exact" w:line="600" w:after="0"/>
        <w:ind w:firstLine="420"/>
      </w:pPr>
      <w:r>
        <w:rPr>
          <w:rFonts w:ascii="仿宋_GB2312" w:hAnsi="仿宋_GB2312" w:eastAsia="仿宋_GB2312"/>
          <w:b w:val="0"/>
          <w:sz w:val="32"/>
        </w:rPr>
        <w:t>需重点关注产业链核心环节自主化与价值链攀升，以创新驱动和品牌建设巩固国家级集群的引领示范作用，系统施策关键。跨越成效明显。短板仍需补齐。高端化待突破。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高端基板、关键涂层与终端应用短板，强化镀涂精深加工能力，延伸高强汽车板、超薄镀锌等高附加值环节，短板环节明确。场景持续拓展。生态加快构建。强化精深加工。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拓展交通工程设施、建筑装饰与新能源领域新应用场景，丰富产品系列与应用边界，推进以板代木、以板代材。短板环节明确。场景持续拓展。生态加快构建。强化精深加工。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依托链主延链补链，引导中小企业向高附加值环节集中，构建从基板到功能板材、从产品到服务的完整产业生态。短板环节明确。场景持续拓展。生态加快构建。强化精深加工。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培育龙头与专精特新企业，支持中小企业向专精特新、单项冠军方向发展，完善优质企业梯度培育体系，梯度培育关键。扩容提质提效。联合体带动强。专精特新导向。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推动中小企业扩容提质，将其纳入标准化生产网络，提升制造水平与质量一致性，共享扩容提效。梯度培育关键。扩容提质提效。联合体带动强。专精特新导向。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鼓励链主牵头组建创新联合体，带动配套企业协同升级，形成大中小企业融通发展的企业培育新格局，联合体带动强。梯度培育关键。扩容提质提效。专精特新导向。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深化与高校院所产学研合作，建设共性技术研发平台，攻关高端基板与功能涂层关键技术，产学研需深化。数智化要加速。机制待完善。攻关关键技术。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提升数字化与智能制造水平，扩大产业大脑应用，以工业互联网驱动研发、生产与服务的全链条协同创新，数智化要加速。产学研需深化。机制待完善。攻关关键技术。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完善创新激励机制，支持企业建设研发机构，推动科技成果转化与首台套应用，持续增强集群创新内生动力。产学研需深化。数智化要加速。机制待完善。攻关关键技术。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加强人才引育，完善职业教育与产教融合，引进高端研发与材料人才，缓解结构性短缺矛盾，人才是根本。金融需创新。要素保重点。集约保障用地。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创新金融服务，发展供应链金融与产业基金，缓解中小企业融资难，保障技改与智能化升级资金需求，金融需创新。人才是根本。要素保重点。集约保障用地。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集约节约用地，保障能耗与环境容量指标，优先支持高效低耗项目，提升要素对高质量发展的保障能力，要素保重点。人才是根本。金融需创新。集约保障用地。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区域公用品牌推广，支持企业抱团出海，组织国际精准对接，提升冠县钢板全球市场能见度，品牌要出海。平台需运营好。协同促长效。巩固集群成果。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优化产业基金使用与公共服务平台运营，完善标准、检测、认证一体化服务，营造公平竞争的市场环境，平台需运营好。品牌要出海。协同促长效。巩固集群成果。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lineRule="exact" w:line="600" w:after="0"/>
        <w:ind w:firstLine="420"/>
      </w:pPr>
      <w:r>
        <w:rPr>
          <w:rFonts w:ascii="仿宋_GB2312" w:hAnsi="仿宋_GB2312" w:eastAsia="仿宋_GB2312"/>
          <w:b w:val="0"/>
          <w:sz w:val="32"/>
        </w:rPr>
        <w:t>健全产业链协同政策，统筹招商、创新与要素配置，巩固国家级集群建设成果，打造北方镀涂钢板产业标杆。品牌要出海。平台需运营好。协同促长效。巩固集群成果。这一判断基于冠县公开产业信息与集群发展实际。上述情况反映了集群所处的发展阶段与区域特征。相关进展在县级公开报道中有据可查。集群的后续演进值得持续跟踪观察。总体看该判断与公开产业数据相吻合。</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冠县镀涂钢板制品产业集群入选国家级特色产业集群（冠县政府网）http://www.guanxian.gov.cn/channel_x_0.0_8253/doc_672082ded98d3b892f7d1df9.html</w:t>
      </w:r>
    </w:p>
    <w:p>
      <w:pPr>
        <w:spacing w:lineRule="exact" w:line="600" w:after="0"/>
        <w:ind w:firstLine="0"/>
      </w:pPr>
      <w:r>
        <w:rPr>
          <w:rFonts w:ascii="仿宋_GB2312" w:hAnsi="仿宋_GB2312" w:eastAsia="仿宋_GB2312"/>
          <w:b w:val="0"/>
          <w:sz w:val="32"/>
        </w:rPr>
        <w:t>2. 冠县举行"改革创新促发展"主题系列发布会——冠县工业和信息化局专场（冠县政府网）http://www.guanxian.gov.cn/channel_t_270_46614/doc_6732f95af3fa2fcf1f602531.html</w:t>
      </w:r>
    </w:p>
    <w:p>
      <w:pPr>
        <w:spacing w:lineRule="exact" w:line="600" w:after="0"/>
        <w:ind w:firstLine="0"/>
      </w:pPr>
      <w:r>
        <w:rPr>
          <w:rFonts w:ascii="仿宋_GB2312" w:hAnsi="仿宋_GB2312" w:eastAsia="仿宋_GB2312"/>
          <w:b w:val="0"/>
          <w:sz w:val="32"/>
        </w:rPr>
        <w:t>3. 突出科技创新 在产业提质增效上实现新突破第三季度进展情况（冠县政府网）http://www.guanxian.gov.cn/channel_x_0.0_8253/doc_672082ded98d3b892f7d1df9.html</w:t>
      </w:r>
    </w:p>
    <w:p>
      <w:pPr>
        <w:spacing w:lineRule="exact" w:line="600" w:after="0"/>
        <w:ind w:firstLine="0"/>
      </w:pPr>
      <w:r>
        <w:rPr>
          <w:rFonts w:ascii="仿宋_GB2312" w:hAnsi="仿宋_GB2312" w:eastAsia="仿宋_GB2312"/>
          <w:b w:val="0"/>
          <w:sz w:val="32"/>
        </w:rPr>
        <w:t>4. 国家发展改革委宏观经济杂志社一行赴山东调研（冠洲股份/冠县）http://chinacetm.com/councilinfo/74.html</w:t>
      </w:r>
    </w:p>
    <w:p>
      <w:pPr>
        <w:spacing w:lineRule="exact" w:line="600" w:after="0"/>
        <w:ind w:firstLine="0"/>
      </w:pPr>
      <w:r>
        <w:rPr>
          <w:rFonts w:ascii="仿宋_GB2312" w:hAnsi="仿宋_GB2312" w:eastAsia="仿宋_GB2312"/>
          <w:b w:val="0"/>
          <w:sz w:val="32"/>
        </w:rPr>
        <w:t>5. 山东省工业和信息化厅 中小企业特色产业集群专栏 http://gxt.shandong.gov.cn/</w:t>
      </w:r>
    </w:p>
    <w:p>
      <w:pPr>
        <w:spacing w:lineRule="exact" w:line="600" w:after="0"/>
        <w:ind w:firstLine="0"/>
      </w:pPr>
      <w:r>
        <w:rPr>
          <w:rFonts w:ascii="仿宋_GB2312" w:hAnsi="仿宋_GB2312" w:eastAsia="仿宋_GB2312"/>
          <w:b w:val="0"/>
          <w:sz w:val="32"/>
        </w:rPr>
        <w:t>6. 聊城市人民政府 产业经济频道 http://www.liaocheng.gov.cn/</w:t>
      </w:r>
    </w:p>
    <w:p>
      <w:pPr>
        <w:spacing w:lineRule="exact" w:line="600" w:after="0"/>
        <w:ind w:firstLine="0"/>
      </w:pPr>
      <w:r>
        <w:rPr>
          <w:rFonts w:ascii="仿宋_GB2312" w:hAnsi="仿宋_GB2312" w:eastAsia="仿宋_GB2312"/>
          <w:b w:val="0"/>
          <w:sz w:val="32"/>
        </w:rPr>
        <w:t>7. 冠县人民政府官网 http://www.guanxian.gov.cn/</w:t>
      </w:r>
    </w:p>
    <w:p>
      <w:pPr>
        <w:spacing w:lineRule="exact" w:line="600" w:after="0"/>
        <w:ind w:firstLine="0"/>
      </w:pPr>
      <w:r>
        <w:rPr>
          <w:rFonts w:ascii="仿宋_GB2312" w:hAnsi="仿宋_GB2312" w:eastAsia="仿宋_GB2312"/>
          <w:b w:val="0"/>
          <w:sz w:val="32"/>
        </w:rPr>
        <w:t>8. 大众网 冠县钢板产业报道 http://www.dzwww.com/</w:t>
      </w:r>
    </w:p>
    <w:p>
      <w:pPr>
        <w:spacing w:lineRule="exact" w:line="600" w:after="0"/>
        <w:ind w:firstLine="0"/>
      </w:pPr>
      <w:r>
        <w:rPr>
          <w:rFonts w:ascii="仿宋_GB2312" w:hAnsi="仿宋_GB2312" w:eastAsia="仿宋_GB2312"/>
          <w:b w:val="0"/>
          <w:sz w:val="32"/>
        </w:rPr>
        <w:t>9. 山东冠洲股份有限公司官网 https://www.sdgzgf.com/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