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山东省济南市钢城区精密锻件产业集群发展研究报告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省济南市钢城区精密锻件产业集群于2023年入选工业和信息化部《2023年度中小企业特色产业集群名单》，是济南市首个国家级中小企业特色产业集群。集群以钢城经济开发区为重点承载，立足钢城区精品钢产业基础，围绕“依托钢、延伸钢、不唯钢”思路，发展轴类、齿轮类锻件及特钢定制化锻件，形成特色鲜明的精密锻件产业高地。</w:t>
      </w:r>
    </w:p>
    <w:p>
      <w:pPr>
        <w:spacing w:lineRule="exact" w:line="600" w:after="0"/>
        <w:ind w:firstLine="420"/>
      </w:pPr>
      <w:r>
        <w:rPr>
          <w:rFonts w:ascii="仿宋_GB2312" w:hAnsi="仿宋_GB2312" w:eastAsia="仿宋_GB2312"/>
          <w:b w:val="0"/>
          <w:sz w:val="32"/>
        </w:rPr>
        <w:t>从产业属性看，精密锻件属先进基础零部件与高端装备制造核心环节，是汽车、轨道交通、风电、船舶、工程机械等装备的“工业牙齿”。钢城区作为全国唯一以钢铁命名的新型生态化工业城市，依托山钢股份莱芜基地的精品钢原料优势向下游精深加工延伸，精密锻件成为钢铁产业链价值链向中高端跃升的关键抓手，这一基础条件为集群后续延链强链提供了重要依托。</w:t>
      </w:r>
    </w:p>
    <w:p>
      <w:pPr>
        <w:spacing w:lineRule="exact" w:line="600" w:after="0"/>
        <w:ind w:firstLine="420"/>
      </w:pPr>
      <w:r>
        <w:rPr>
          <w:rFonts w:ascii="仿宋_GB2312" w:hAnsi="仿宋_GB2312" w:eastAsia="仿宋_GB2312"/>
          <w:b w:val="0"/>
          <w:sz w:val="32"/>
        </w:rPr>
        <w:t>在行政与空间归属上，集群以钢城经济开发区为核心承载区，统筹里辛工业园、颜庄等片区，形成“龙头企业领航、骨干企业驱动、上下游企业互补”的发展生态。总体看，该集群是钢城区“3+2”主导产业中精密铸锻与装备制造的核心支撑，也是济南市制造业高质量发展的标志性名片，上述属性特征共同构成了集群参与区域竞争的独特禀赋。</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钢城经济开发区管委会数据，集群已培育企业145家，其中上市公司1家、规上工业企业49家，2023年产值达113亿元，成为拉动全区工业增长的重要引擎。作为全市首个国家级中小企业特色产业集群，精密锻件产业的规模与质量在济南市特色产业集群中居于前列，对区域工业经济贡献突出，从发展禀赋看，其区位与产业传承优势具有较强不可复制性。</w:t>
      </w:r>
    </w:p>
    <w:p>
      <w:pPr>
        <w:spacing w:lineRule="exact" w:line="600" w:after="0"/>
        <w:ind w:firstLine="420"/>
      </w:pPr>
      <w:r>
        <w:rPr>
          <w:rFonts w:ascii="仿宋_GB2312" w:hAnsi="仿宋_GB2312" w:eastAsia="仿宋_GB2312"/>
          <w:b w:val="0"/>
          <w:sz w:val="32"/>
        </w:rPr>
        <w:t>从增长态势看，据新华网山东报道，集群中150家企业2024年实现产值135亿元、增长8.9%，研发投入增长12.8%，呈现量质齐升态势。钢城区“3+2”主导产业2024年整体实现产值700亿元，占全区规上工业产值93%，其中精密锻件集群是核心增量之一。据初步估算，集群全产业链带动就业数以万计，清晰的基础属性界定，有助于精准施策与资源高效配置。</w:t>
      </w:r>
    </w:p>
    <w:p>
      <w:pPr>
        <w:spacing w:lineRule="exact" w:line="600" w:after="0"/>
        <w:ind w:firstLine="420"/>
      </w:pPr>
      <w:r>
        <w:rPr>
          <w:rFonts w:ascii="仿宋_GB2312" w:hAnsi="仿宋_GB2312" w:eastAsia="仿宋_GB2312"/>
          <w:b w:val="0"/>
          <w:sz w:val="32"/>
        </w:rPr>
        <w:t>投资体量方面，集群实施技改项目20个、总投资28.72亿元，完成投资6.34亿元；金雷股份新上总投资30.5亿元的高端传动装备科创产业园项目、邦巨实业年产15万吨铸锻件产业园等30个上下游配套项目相继落地。总体看，集群规模体量稳健扩张，投资后劲充足，增长潜力较大，这一基础条件为集群后续延链强链提供了重要依托。</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聚焦精密锻件及下游零部件三大方向：一是风电主轴与传动装备锻件，龙头金雷科技（金雷股份）是全球知名风电主轴制造商，全球市场占有率稳定在40%以上；二是汽车与轨道交通传动精密部件，代表企业汇锋传动、温岭精锻，主攻螺旋锥齿轮、传动轴、桥壳等；三是粉末冶金零部件，代表鲁银新材料、济南新艺粉末制品，上述属性特征共同构成了集群参与区域竞争的独特禀赋。</w:t>
      </w:r>
    </w:p>
    <w:p>
      <w:pPr>
        <w:spacing w:lineRule="exact" w:line="600" w:after="0"/>
        <w:ind w:firstLine="420"/>
      </w:pPr>
      <w:r>
        <w:rPr>
          <w:rFonts w:ascii="仿宋_GB2312" w:hAnsi="仿宋_GB2312" w:eastAsia="仿宋_GB2312"/>
          <w:b w:val="0"/>
          <w:sz w:val="32"/>
        </w:rPr>
        <w:t>从产品体系看，温岭精锻具备年产12万吨锻件、1000万支传动轴和变速器轴、汽车驱动桥螺旋锥齿轮150万套能力，螺旋锥齿轮国内市场占有率61%；汇锋传动产品覆盖螺旋锥齿轮、传动轴、新能源电驱核心部件、高铁车轴车轮六大体系；鲁银新材料为亚洲知名粉末冶金生产企业，为汽车、航空航天等提供新材料，从发展禀赋看，其区位与产业传承优势具有较强不可复制性。</w:t>
      </w:r>
    </w:p>
    <w:p>
      <w:pPr>
        <w:spacing w:lineRule="exact" w:line="600" w:after="0"/>
        <w:ind w:firstLine="420"/>
      </w:pPr>
      <w:r>
        <w:rPr>
          <w:rFonts w:ascii="仿宋_GB2312" w:hAnsi="仿宋_GB2312" w:eastAsia="仿宋_GB2312"/>
          <w:b w:val="0"/>
          <w:sz w:val="32"/>
        </w:rPr>
        <w:t>集群构建“鲁银做粉—新艺压制成件—汇锋/温岭精锻做齿轮传动—金雷做风电主轴”的协同链条，产品广泛应用于汽车、轨道交通、风电、船舶、航空航天等高端领域。总体看，主导产业呈“原料—锻件—部件—整机配套”全链条格局，专业化与配套度优势突出，清晰的基础属性界定，有助于精准施策与资源高效配置，这一基础条件为集群后续延链强链提供了重要依托。</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较高，已形成“精品钢原料—精深加工锻造—精密部件—终端应用”的完整链条。上游为山钢股份莱芜基地的精品钢生产，提供特钢坯料；中游为精品钢深加工及锻造，涵盖轴类、齿轮类锻件制造与特钢定制化锻件；下游为风电、水电、船舶、汽车、轨道交通等终端产品与市场，补齐上述环节短板对提升产业链韧性和附加值至关重要。</w:t>
      </w:r>
    </w:p>
    <w:p>
      <w:pPr>
        <w:spacing w:lineRule="exact" w:line="600" w:after="0"/>
        <w:ind w:firstLine="420"/>
      </w:pPr>
      <w:r>
        <w:rPr>
          <w:rFonts w:ascii="仿宋_GB2312" w:hAnsi="仿宋_GB2312" w:eastAsia="仿宋_GB2312"/>
          <w:b w:val="0"/>
          <w:sz w:val="32"/>
        </w:rPr>
        <w:t>配套环节日趋完备。集群拥有从锻造、热处理、机加工、铣齿、磨齿到检测装配的全链条工艺能力，温岭精锻模具自制率达95%以上，关键工序设备数控化率超90%，显著降低了外协依赖。鲁银新材料、济南新艺形成“粉末—压制成型”的粉末冶金配套，补全了材料端短板，这一结构特征决定了集群在价值链分工中的位势与空间，强化上下游协同是增强产业链整体竞争力的关键所在。</w:t>
      </w:r>
    </w:p>
    <w:p>
      <w:pPr>
        <w:spacing w:lineRule="exact" w:line="600" w:after="0"/>
        <w:ind w:firstLine="420"/>
      </w:pPr>
      <w:r>
        <w:rPr>
          <w:rFonts w:ascii="仿宋_GB2312" w:hAnsi="仿宋_GB2312" w:eastAsia="仿宋_GB2312"/>
          <w:b w:val="0"/>
          <w:sz w:val="32"/>
        </w:rPr>
        <w:t>总体看，集群产业链在钢城区内基本实现闭环，本地配套率随“链上钢城”供需对接持续推进而提升（如铁精粉本地配套率提升）。完整度是集群核心竞争力，但部分高端特钢品种与极端工况材料仍依赖外部采购，需继续补强上游材料端，围绕产业链薄弱环节精准发力，方能夯实集群发展根基，补齐上述环节短板对提升产业链韧性和附加值至关重要。</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短板主要在三方面。其一，上游高端特钢与特种合金材料部分牌号仍依赖外部，山钢基地以普优钢为主，超高强、超耐低温、耐蚀等特种锻件用钢自给不足，制约高端锻件升级。其二，中游部分企业以中低端模锻、自由锻为主，精密成形与近净成形比例有待提高，这一结构特征决定了集群在价值链分工中的位势与空间，强化上下游协同是增强产业链整体竞争力的关键所在。</w:t>
      </w:r>
    </w:p>
    <w:p>
      <w:pPr>
        <w:spacing w:lineRule="exact" w:line="600" w:after="0"/>
        <w:ind w:firstLine="420"/>
      </w:pPr>
      <w:r>
        <w:rPr>
          <w:rFonts w:ascii="仿宋_GB2312" w:hAnsi="仿宋_GB2312" w:eastAsia="仿宋_GB2312"/>
          <w:b w:val="0"/>
          <w:sz w:val="32"/>
        </w:rPr>
        <w:t>其三，下游终端系统集成能力偏弱，多数企业集中于部件与中间件，整机制造与品牌终端偏少，价值链高位环节占比低；同时研发设计软件、高端数控锻压与检测装备部分依赖进口，中小企业数字化水平参差不齐，制约一致性质量与效率提升，围绕产业链薄弱环节精准发力，方能夯实集群发展根基，补齐上述环节短板对提升产业链韧性和附加值至关重要。</w:t>
      </w:r>
    </w:p>
    <w:p>
      <w:pPr>
        <w:spacing w:lineRule="exact" w:line="600" w:after="0"/>
        <w:ind w:firstLine="420"/>
      </w:pPr>
      <w:r>
        <w:rPr>
          <w:rFonts w:ascii="仿宋_GB2312" w:hAnsi="仿宋_GB2312" w:eastAsia="仿宋_GB2312"/>
          <w:b w:val="0"/>
          <w:sz w:val="32"/>
        </w:rPr>
        <w:t>总体看，短板集中在“特种材料、精密工艺、终端集成、高端装备”四个环节。需以联合研发、技改升级与“链主+配套”协同，持续补链强链，向高附加值环节攀升，这一结构特征决定了集群在价值链分工中的位势与空间，强化上下游协同是增强产业链整体竞争力的关键所在，围绕产业链薄弱环节精准发力，方能夯实集群发展根基，补齐上述环节短板对提升产业链韧性和附加值至关重要。</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看，集群当前收益集中于中游锻件与部件环节，金雷科技风电主轴、温岭精锻螺旋锥齿轮等凭借规模与技术占据较高附加值；上游特钢原料环节附加值中等，下游终端应用以配套为主、品牌溢价有限，整体呈“中间高、两端偏低”的价值分布，这一结构特征决定了集群在价值链分工中的位势与空间，强化上下游协同是增强产业链整体竞争力的关键所在。</w:t>
      </w:r>
    </w:p>
    <w:p>
      <w:pPr>
        <w:spacing w:lineRule="exact" w:line="600" w:after="0"/>
        <w:ind w:firstLine="420"/>
      </w:pPr>
      <w:r>
        <w:rPr>
          <w:rFonts w:ascii="仿宋_GB2312" w:hAnsi="仿宋_GB2312" w:eastAsia="仿宋_GB2312"/>
          <w:b w:val="0"/>
          <w:sz w:val="32"/>
        </w:rPr>
        <w:t>与国际先进对标，温岭精锻螺旋锥齿轮国内市占率61%、金雷风电主轴全球市占率40%以上，在细分领域已具全球竞争力；但在高端工程机械、航空航天精密锻件、特种合金部件上，单位价值量与国际顶尖仍有差距，部分高端应用场景仍处国产替代初期，围绕产业链薄弱环节精准发力，方能夯实集群发展根基，补齐上述环节短板对提升产业链韧性和附加值至关重要。</w:t>
      </w:r>
    </w:p>
    <w:p>
      <w:pPr>
        <w:spacing w:lineRule="exact" w:line="600" w:after="0"/>
        <w:ind w:firstLine="420"/>
      </w:pPr>
      <w:r>
        <w:rPr>
          <w:rFonts w:ascii="仿宋_GB2312" w:hAnsi="仿宋_GB2312" w:eastAsia="仿宋_GB2312"/>
          <w:b w:val="0"/>
          <w:sz w:val="32"/>
        </w:rPr>
        <w:t>提升价值链位置，需向上游特种材料与下游系统集成两端延伸，发展“材料+部件+总成+服务”，提高终端自给与品牌溢价。依托技改与数转智改降本提质，以绿色制造抬升全链价值。总体看，集群价值链正由部件供应商向系统方案商转型，位置稳步上移，这一结构特征决定了集群在价值链分工中的位势与空间，强化上下游协同是增强产业链整体竞争力的关键所在。</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空间分工上，钢城经济开发区为核心承载，里辛工业园集聚温岭精锻、汇锋传动等传动部件企业；颜庄等片区布局粉末冶金与铸锻配套；山钢基地提供精品钢原料，形成“原料在钢城、锻造在园区、部件全域配套”的分工格局。钢城区系统梳理出精密铸锻与装备制造等8大标志性产业链，分类施策，围绕产业链薄弱环节精准发力，方能夯实集群发展根基。</w:t>
      </w:r>
    </w:p>
    <w:p>
      <w:pPr>
        <w:spacing w:lineRule="exact" w:line="600" w:after="0"/>
        <w:ind w:firstLine="420"/>
      </w:pPr>
      <w:r>
        <w:rPr>
          <w:rFonts w:ascii="仿宋_GB2312" w:hAnsi="仿宋_GB2312" w:eastAsia="仿宋_GB2312"/>
          <w:b w:val="0"/>
          <w:sz w:val="32"/>
        </w:rPr>
        <w:t>企业分工上，金雷科技主攻风电主轴（全球领先），汇锋传动、温岭精锻主攻汽车与轨交传动齿轮及桥壳，鲁银新材料、济南新艺主攻粉末冶金材料与零部件，邦巨实业等布局铸锻件产业园，中小企业分攻工程机械、农机等细分锻件，形成专业化分工网络，补齐上述环节短板对提升产业链韧性和附加值至关重要，这一结构特征决定了集群在价值链分工中的位势与空间。</w:t>
      </w:r>
    </w:p>
    <w:p>
      <w:pPr>
        <w:spacing w:lineRule="exact" w:line="600" w:after="0"/>
        <w:ind w:firstLine="420"/>
      </w:pPr>
      <w:r>
        <w:rPr>
          <w:rFonts w:ascii="仿宋_GB2312" w:hAnsi="仿宋_GB2312" w:eastAsia="仿宋_GB2312"/>
          <w:b w:val="0"/>
          <w:sz w:val="32"/>
        </w:rPr>
        <w:t>创新分工上，企业为主体，汇锋传动与山钢股份莱芜分公司联合成立齿轮材料研发中心，上下游协作把控质量；科创中心、产业研发中心等公共平台提供中试与检测。总体看，集群分工清晰、协作紧密，“龙头企业领航、骨干驱动、上下游互补”的生态日益成熟，强化上下游协同是增强产业链整体竞争力的关键所在，围绕产业链薄弱环节精准发力，方能夯实集群发展根基。</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龙头+骨干+配套”梯队。龙头金雷科技为上市公司（风电主轴全球领先），汇锋传动/温岭精锻为传动部件龙头；骨干含鲁银新材料、济南新艺、邦巨实业等；底层为大量中小锻件与机加工配套企业。集群已培育企业145家，其中上市公司1家、规上工业企业49家，构成数量主体的是中小企业，合理的企业结构是集群抗风险能力和创新活力的重要来源。</w:t>
      </w:r>
    </w:p>
    <w:p>
      <w:pPr>
        <w:spacing w:lineRule="exact" w:line="600" w:after="0"/>
        <w:ind w:firstLine="420"/>
      </w:pPr>
      <w:r>
        <w:rPr>
          <w:rFonts w:ascii="仿宋_GB2312" w:hAnsi="仿宋_GB2312" w:eastAsia="仿宋_GB2312"/>
          <w:b w:val="0"/>
          <w:sz w:val="32"/>
        </w:rPr>
        <w:t>从品牌结构看，集群培育出国家制造业单项冠军1家、国家专精特新“小巨人”3家、省级瞪羚8家、高新技术企业29家、专精特新中小企业18家、创新型中小企业14家，形成“单项冠军+小巨人+专精特新”的优质企业矩阵。温岭精锻入选省新旧动能转换20强、鲁银新材料为亚洲知名粉末冶金企业，头部企业的牵引作用仍需在股权与资本层面进一步深化。</w:t>
      </w:r>
    </w:p>
    <w:p>
      <w:pPr>
        <w:spacing w:lineRule="exact" w:line="600" w:after="0"/>
        <w:ind w:firstLine="420"/>
      </w:pPr>
      <w:r>
        <w:rPr>
          <w:rFonts w:ascii="仿宋_GB2312" w:hAnsi="仿宋_GB2312" w:eastAsia="仿宋_GB2312"/>
          <w:b w:val="0"/>
          <w:sz w:val="32"/>
        </w:rPr>
        <w:t>总体看，龙头企业的规模与资本优势为集群提供锚点，中小企业以灵活性填补细分市场。但中小企业普遍面临融资、人才与技术升级压力。需通过“一企一策”、产业基金与链主带动，推动中小企业专精特新发展，优化大中小企业融通的规模结构，企业集聚所产生的知识溢出效应正持续转化为发展动能，优化企业主体结构，是提升集群组织化水平的核心抓手。</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以民营控股为主体，国有与混合所有制并存。金雷科技为民营上市企业；汇锋传动体系（含温岭精锻）为民营控股；鲁银新材料为国有控股（鲁银投资旗下）；山钢股份莱芜基地为国有（中国宝武体系），为集群提供国有背景的原料支撑，形成“民营主导、国资支撑”的产权格局，合理的企业结构是集群抗风险能力和创新活力的重要来源。</w:t>
      </w:r>
    </w:p>
    <w:p>
      <w:pPr>
        <w:spacing w:lineRule="exact" w:line="600" w:after="0"/>
        <w:ind w:firstLine="420"/>
      </w:pPr>
      <w:r>
        <w:rPr>
          <w:rFonts w:ascii="仿宋_GB2312" w:hAnsi="仿宋_GB2312" w:eastAsia="仿宋_GB2312"/>
          <w:b w:val="0"/>
          <w:sz w:val="32"/>
        </w:rPr>
        <w:t>资本运作上，金雷科技善用资本市场融资扩产（高端传动装备科创产业园投资30.5亿元）；政府通过产业基金、风险补偿引导信贷，2024年帮助935家中小微企业新增贷款29.1亿元。国资平台在要素保障与公共配套中发挥“稳定器”作用，缓解民企波动冲击，头部企业的牵引作用仍需在股权与资本层面进一步深化，企业集聚所产生的知识溢出效应正持续转化为发展动能。</w:t>
      </w:r>
    </w:p>
    <w:p>
      <w:pPr>
        <w:spacing w:lineRule="exact" w:line="600" w:after="0"/>
        <w:ind w:firstLine="420"/>
      </w:pPr>
      <w:r>
        <w:rPr>
          <w:rFonts w:ascii="仿宋_GB2312" w:hAnsi="仿宋_GB2312" w:eastAsia="仿宋_GB2312"/>
          <w:b w:val="0"/>
          <w:sz w:val="32"/>
        </w:rPr>
        <w:t>总体看，多元产权兼顾市场活力与公共支撑。需防范民企业务波动对产业链冲击，强化国资平台逆周期调节与供应链金融服务，优化资本配置效率，保障集群稳定发展，优化企业主体结构，是提升集群组织化水平的核心抓手，合理的企业结构是集群抗风险能力和创新活力的重要来源，头部企业的牵引作用仍需在股权与资本层面进一步深化，企业集聚所产生的知识溢出效应正持续转化为发展动能。</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金雷科技（金雷股份）是集群最具全球影响力的头部企业，专业从事风电主轴制造，全球市场占有率稳定在40%以上，是全球知名风电主轴供应商，产品主轴大型化、产品多元化持续推进，高端传动装备科创产业园的布局将进一步巩固其龙头地位，优化企业主体结构，是提升集群组织化水平的核心抓手，合理的企业结构是集群抗风险能力和创新活力的重要来源。</w:t>
      </w:r>
    </w:p>
    <w:p>
      <w:pPr>
        <w:spacing w:lineRule="exact" w:line="600" w:after="0"/>
        <w:ind w:firstLine="420"/>
      </w:pPr>
      <w:r>
        <w:rPr>
          <w:rFonts w:ascii="仿宋_GB2312" w:hAnsi="仿宋_GB2312" w:eastAsia="仿宋_GB2312"/>
          <w:b w:val="0"/>
          <w:sz w:val="32"/>
        </w:rPr>
        <w:t>汇锋传动及子公司温岭精锻是传动精密部件龙头。温岭精锻总资产约10亿元，具备年产12万吨锻件、螺旋锥齿轮150万套能力，螺旋锥齿轮国内市占率61%，与中国一汽、中国重汽、美国美驰等稳定合作，多项技术填补国内传动齿轮空白，获中国锻压协会神工奖，头部企业的牵引作用仍需在股权与资本层面进一步深化，企业集聚所产生的知识溢出效应正持续转化为发展动能。</w:t>
      </w:r>
    </w:p>
    <w:p>
      <w:pPr>
        <w:spacing w:lineRule="exact" w:line="600" w:after="0"/>
        <w:ind w:firstLine="420"/>
      </w:pPr>
      <w:r>
        <w:rPr>
          <w:rFonts w:ascii="仿宋_GB2312" w:hAnsi="仿宋_GB2312" w:eastAsia="仿宋_GB2312"/>
          <w:b w:val="0"/>
          <w:sz w:val="32"/>
        </w:rPr>
        <w:t>鲁银新材料为亚洲知名粉末冶金生产企业，提供钢铁粉末新材料；济南新艺粉末制品为汽车厂商供应高端零部件；邦巨实业布局年产15万吨铸锻件产业园。头部企业技术与产能优势是集群竞争力的根本来源，需持续支持其扩张与研发，优化企业主体结构，是提升集群组织化水平的核心抓手，合理的企业结构是集群抗风险能力和创新活力的重要来源。</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园区集聚+链式协作”特征。钢城经济开发区集聚145家产业链企业，形成从特钢原料、锻造到部件的紧凑产业链；以金雷、汇锋、鲁银等为牵引，企业优势互补、抱团发展，“鲁银做粉—新艺成型—汇锋/温岭精锻做齿轮—金雷做主轴”的协作网络紧密，头部企业的牵引作用仍需在股权与资本层面进一步深化，企业集聚所产生的知识溢出效应正持续转化为发展动能。</w:t>
      </w:r>
    </w:p>
    <w:p>
      <w:pPr>
        <w:spacing w:lineRule="exact" w:line="600" w:after="0"/>
        <w:ind w:firstLine="420"/>
      </w:pPr>
      <w:r>
        <w:rPr>
          <w:rFonts w:ascii="仿宋_GB2312" w:hAnsi="仿宋_GB2312" w:eastAsia="仿宋_GB2312"/>
          <w:b w:val="0"/>
          <w:sz w:val="32"/>
        </w:rPr>
        <w:t>从产业关联看，集聚企业围绕龙头形成上下游配套，本地配套率随“链上钢城”供需对接提升（如铁精粉本地配套率年内提升1.5个百分点）。专业化分工与地理邻近降低物流协作成本，促进隐性知识传播与技术溢出，是创新活力的重要来源，优化企业主体结构，是提升集群组织化水平的核心抓手，合理的企业结构是集群抗风险能力和创新活力的重要来源。</w:t>
      </w:r>
    </w:p>
    <w:p>
      <w:pPr>
        <w:spacing w:lineRule="exact" w:line="600" w:after="0"/>
        <w:ind w:firstLine="420"/>
      </w:pPr>
      <w:r>
        <w:rPr>
          <w:rFonts w:ascii="仿宋_GB2312" w:hAnsi="仿宋_GB2312" w:eastAsia="仿宋_GB2312"/>
          <w:b w:val="0"/>
          <w:sz w:val="32"/>
        </w:rPr>
        <w:t>集聚也带来同质竞争与要素约束，如园区用地、能耗趋紧，部分中小企业成本压力大。总体看，企业集聚特征鲜明、协作紧密，是国家级基地核心优势；下一步需通过数转智改、绿色园区等提升集聚质量与可持续性，头部企业的牵引作用仍需在股权与资本层面进一步深化，企业集聚所产生的知识溢出效应正持续转化为发展动能，优化企业主体结构，是提升集群组织化水平的核心抓手。</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企业为主体、政府引导。头部企业高强度投入：汇锋传动与山钢联合成立齿轮材料研发中心；金雷科技持续投入主轴大型化与新材料。政府以技改贴息、研发费用补助撬动，2024年钢城区开展研发活动规上工业企业占比超60%，研发投入占GDP比重达4.6%，高于全省平均，创新能力的稳步提升是集群迈向高端化的核心支撑。</w:t>
      </w:r>
    </w:p>
    <w:p>
      <w:pPr>
        <w:spacing w:lineRule="exact" w:line="600" w:after="0"/>
        <w:ind w:firstLine="420"/>
      </w:pPr>
      <w:r>
        <w:rPr>
          <w:rFonts w:ascii="仿宋_GB2312" w:hAnsi="仿宋_GB2312" w:eastAsia="仿宋_GB2312"/>
          <w:b w:val="0"/>
          <w:sz w:val="32"/>
        </w:rPr>
        <w:t>财政科技投入方面，钢城区培育高新技术企业87家、科技型中小企业入库132家，设立市级及以上重点实验室、企业技术中心等创新平台100个；帮助重点项目与中小微企业新增贷款29.1亿元，缓解研发资金约束。集群企业获发明专利111项，创新产出丰厚，平台与转化的协同发力，正不断缩短从研发到产业化的周期，持续加大研发投入对突破关键共性技术具有决定性意义。</w:t>
      </w:r>
    </w:p>
    <w:p>
      <w:pPr>
        <w:spacing w:lineRule="exact" w:line="600" w:after="0"/>
        <w:ind w:firstLine="420"/>
      </w:pPr>
      <w:r>
        <w:rPr>
          <w:rFonts w:ascii="仿宋_GB2312" w:hAnsi="仿宋_GB2312" w:eastAsia="仿宋_GB2312"/>
          <w:b w:val="0"/>
          <w:sz w:val="32"/>
        </w:rPr>
        <w:t>总体看，集群研发投入强度在济南区县中居前，链主企业资本实力保障技术迭代，但大量中小企业研发能力偏弱，依赖龙头与平台外溢。需完善“企业出题、科技解题”机制，扩大研发覆盖面，提升整体创新能力与可持续性，以企业为主体、市场为导向的创新体系亟待进一步健全，创新能力的稳步提升是集群迈向高端化的核心支撑，平台与转化的协同发力，正不断缩短从研发到产业化的周期。</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突出。温岭精锻螺旋锥齿轮多项产品技术填补国内传动齿轮行业空白，参与行业标准制定，获中国锻压协会神工奖；汇锋传动螺旋锥齿轮研发生产填补行业空白并参与标准制定；鲁银新材料在钢铁粉末领域形成亚洲领先优势。集群累计获发明专利111项，持续加大研发投入对突破关键共性技术具有决定性意义，以企业为主体、市场为导向的创新体系亟待进一步健全。</w:t>
      </w:r>
    </w:p>
    <w:p>
      <w:pPr>
        <w:spacing w:lineRule="exact" w:line="600" w:after="0"/>
        <w:ind w:firstLine="420"/>
      </w:pPr>
      <w:r>
        <w:rPr>
          <w:rFonts w:ascii="仿宋_GB2312" w:hAnsi="仿宋_GB2312" w:eastAsia="仿宋_GB2312"/>
          <w:b w:val="0"/>
          <w:sz w:val="32"/>
        </w:rPr>
        <w:t>产品矩阵上，风电主轴、螺旋锥齿轮、高铁车轴车轮、新能源电驱部件等实现国产化突破；温岭精锻齿轮加工精度达6—7级、部分5级，通过主机厂严苛台架与路试验证。粉末冶金方面，鲁银—新艺“面粉—面包”模式打通材料到零部件的自主创新，创新能力的稳步提升是集群迈向高端化的核心支撑，平台与转化的协同发力，正不断缩短从研发到产业化的周期。</w:t>
      </w:r>
    </w:p>
    <w:p>
      <w:pPr>
        <w:spacing w:lineRule="exact" w:line="600" w:after="0"/>
        <w:ind w:firstLine="420"/>
      </w:pPr>
      <w:r>
        <w:rPr>
          <w:rFonts w:ascii="仿宋_GB2312" w:hAnsi="仿宋_GB2312" w:eastAsia="仿宋_GB2312"/>
          <w:b w:val="0"/>
          <w:sz w:val="32"/>
        </w:rPr>
        <w:t>创新产出正加速转化：金雷科技主轴全球配套，温岭精锻出口美、德、意、巴等十余国，汇锋传动与商飞、中车等对接。总体看，集群创新产出兼具“部件突破”与“材料自主”特征，成果转化路径畅通，但部分尖端牌号仍处国产替代初期，持续加大研发投入对突破关键共性技术具有决定性意义，以企业为主体、市场为导向的创新体系亟待进一步健全。</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密集。设有钢城区科创中心、产业研发中心（主体工程基本完工），市级及以上重点实验室、企业技术中心等创新平台100个；汇锋传动与山钢股份莱芜分公司联合成立齿轮材料研发中心，整合上下游科研力量把控质量，创新能力的稳步提升是集群迈向高端化的核心支撑，平台与转化的协同发力，正不断缩短从研发到产业化的周期。</w:t>
      </w:r>
    </w:p>
    <w:p>
      <w:pPr>
        <w:spacing w:lineRule="exact" w:line="600" w:after="0"/>
        <w:ind w:firstLine="420"/>
      </w:pPr>
      <w:r>
        <w:rPr>
          <w:rFonts w:ascii="仿宋_GB2312" w:hAnsi="仿宋_GB2312" w:eastAsia="仿宋_GB2312"/>
          <w:b w:val="0"/>
          <w:sz w:val="32"/>
        </w:rPr>
        <w:t>公共平台方面，钢城区对标全市产业链布局，系统梳理8大标志性产业链与20条重点产业链并分类制定提升措施；科创中心、产业研发中心提供中试、检测与成果转化服务。企业技术中心、工程实验室支撑关键技术攻关，平台能级在精密锻件集群中领先，持续加大研发投入对突破关键共性技术具有决定性意义，以企业为主体、市场为导向的创新体系亟待进一步健全。</w:t>
      </w:r>
    </w:p>
    <w:p>
      <w:pPr>
        <w:spacing w:lineRule="exact" w:line="600" w:after="0"/>
        <w:ind w:firstLine="420"/>
      </w:pPr>
      <w:r>
        <w:rPr>
          <w:rFonts w:ascii="仿宋_GB2312" w:hAnsi="仿宋_GB2312" w:eastAsia="仿宋_GB2312"/>
          <w:b w:val="0"/>
          <w:sz w:val="32"/>
        </w:rPr>
        <w:t>总体看，集群已构建“龙头企业研发中心+公共科创平台+产业研发中心”多层次体系。但平台面向中小企业开放共享与成果共享机制仍有优化空间，需强化普惠性公共服务，提升整体创新资源的共享效率，创新能力的稳步提升是集群迈向高端化的核心支撑，平台与转化的协同发力，正不断缩短从研发到产业化的周期，持续加大研发投入对突破关键共性技术具有决定性意义。</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机制以“链式协同+供需对接”为特色。钢城区以“精准对接+靶向服务”破解供需痛点，常态化举办专项对接会，推动山钢与本土供应商“链”上合作，预计年内提升铁精粉本地配套率1.5个百分点，畅通原料—锻件—部件转化通道，以企业为主体、市场为导向的创新体系亟待进一步健全，创新能力的稳步提升是集群迈向高端化的核心支撑。</w:t>
      </w:r>
    </w:p>
    <w:p>
      <w:pPr>
        <w:spacing w:lineRule="exact" w:line="600" w:after="0"/>
        <w:ind w:firstLine="420"/>
      </w:pPr>
      <w:r>
        <w:rPr>
          <w:rFonts w:ascii="仿宋_GB2312" w:hAnsi="仿宋_GB2312" w:eastAsia="仿宋_GB2312"/>
          <w:b w:val="0"/>
          <w:sz w:val="32"/>
        </w:rPr>
        <w:t>转化路径上，依托企业研发中心与公共平台，推动齿轮材料、风电主轴等成果产业化；政府通过技改项目（如高端精密锻件等15个技改项目）、首批次应用等帮助新技术开拓市场，形成“研发—中试—产业化—配套”闭环。亿金传动等项目“当月签约当月投产”彰显转化效率，平台与转化的协同发力，正不断缩短从研发到产业化的周期，持续加大研发投入对突破关键共性技术具有决定性意义。</w:t>
      </w:r>
    </w:p>
    <w:p>
      <w:pPr>
        <w:spacing w:lineRule="exact" w:line="600" w:after="0"/>
        <w:ind w:firstLine="420"/>
      </w:pPr>
      <w:r>
        <w:rPr>
          <w:rFonts w:ascii="仿宋_GB2312" w:hAnsi="仿宋_GB2312" w:eastAsia="仿宋_GB2312"/>
          <w:b w:val="0"/>
          <w:sz w:val="32"/>
        </w:rPr>
        <w:t>总体看，集群技术转化效率较高，链式协同与精准服务打通了转化堵点。但部分前沿技术从中试到规模放量周期长、风险高，需进一步强化中试放大能力与首台套政策，缩短转化周期、降低转化成本，以企业为主体、市场为导向的创新体系亟待进一步健全，创新能力的稳步提升是集群迈向高端化的核心支撑，平台与转化的协同发力，正不断缩短从研发到产业化的周期。</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产业工人与工程技术人员为主。钢城区作为老工业基地，拥有雄厚的钢铁与装备制造技工储备；金雷、汇锋、温岭精锻等集聚大批锻造、热处理、机加工与齿轮工程人才；职业院校与实训基地培养技能人才，形成“高端研发+技能工人”结构，要素供给的协同优化是支撑集群规模化扩张的前提条件，发挥要素禀赋优势、弥补要素短板，是下一步工作的着力点。</w:t>
      </w:r>
    </w:p>
    <w:p>
      <w:pPr>
        <w:spacing w:lineRule="exact" w:line="600" w:after="0"/>
        <w:ind w:firstLine="420"/>
      </w:pPr>
      <w:r>
        <w:rPr>
          <w:rFonts w:ascii="仿宋_GB2312" w:hAnsi="仿宋_GB2312" w:eastAsia="仿宋_GB2312"/>
          <w:b w:val="0"/>
          <w:sz w:val="32"/>
        </w:rPr>
        <w:t>人才政策方面，钢城区落实“钢城人才20条”，培育高层次高技能人才211人、引进青年人才340人；围绕重点产业培养引进研究生43人，入选泰山产业领军人才2人、齐鲁首席技师1人。但高端材料与装备研发人才仍稀缺，青年留存与结构性短缺并存，劳动力与资本等要素的组合效率，直接影响集群运行质量，统筹土地、能耗与原料保障，方能为集群跃升留出空间。</w:t>
      </w:r>
    </w:p>
    <w:p>
      <w:pPr>
        <w:spacing w:lineRule="exact" w:line="600" w:after="0"/>
        <w:ind w:firstLine="420"/>
      </w:pPr>
      <w:r>
        <w:rPr>
          <w:rFonts w:ascii="仿宋_GB2312" w:hAnsi="仿宋_GB2312" w:eastAsia="仿宋_GB2312"/>
          <w:b w:val="0"/>
          <w:sz w:val="32"/>
        </w:rPr>
        <w:t>总体看，劳动力禀赋“技工充足、研发偏紧”。需深化产教融合、校企协同育人，扩大工程师与高技能工人供给；以产业出题、科技解题机制吸引外部智力，夯实人力资本基础，要素供给的协同优化是支撑集群规模化扩张的前提条件，发挥要素禀赋优势、弥补要素短板，是下一步工作的着力点，劳动力与资本等要素的组合效率，直接影响集群运行质量。</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供给多元。金雷科技等上市公司直接融资能力强；政府设产业基金、风险补偿引导信贷，2024年帮助16个重点项目、935家中小微企业新增贷款29.1亿元。财政金融支持显著，缓解中小企业融资难。外资与合资较少，以本土内生成长为主，统筹土地、能耗与原料保障，方能为集群跃升留出空间，要素供给的协同优化是支撑集群规模化扩张的前提条件。</w:t>
      </w:r>
    </w:p>
    <w:p>
      <w:pPr>
        <w:spacing w:lineRule="exact" w:line="600" w:after="0"/>
        <w:ind w:firstLine="420"/>
      </w:pPr>
      <w:r>
        <w:rPr>
          <w:rFonts w:ascii="仿宋_GB2312" w:hAnsi="仿宋_GB2312" w:eastAsia="仿宋_GB2312"/>
          <w:b w:val="0"/>
          <w:sz w:val="32"/>
        </w:rPr>
        <w:t>从投资强度看，金雷高端传动装备科创产业园投资30.5亿元、邦巨实业15万吨铸锻件产业园等30个上下游配套项目、高端精密锻件等15个技改项目相继落地，集群实施技改总投资28.72亿元。但精密锻件重资产、周期长，中小企业设备升级仍受资本金约束，发挥要素禀赋优势、弥补要素短板，是下一步工作的着力点，劳动力与资本等要素的组合效率，直接影响集群运行质量。</w:t>
      </w:r>
    </w:p>
    <w:p>
      <w:pPr>
        <w:spacing w:lineRule="exact" w:line="600" w:after="0"/>
        <w:ind w:firstLine="420"/>
      </w:pPr>
      <w:r>
        <w:rPr>
          <w:rFonts w:ascii="仿宋_GB2312" w:hAnsi="仿宋_GB2312" w:eastAsia="仿宋_GB2312"/>
          <w:b w:val="0"/>
          <w:sz w:val="32"/>
        </w:rPr>
        <w:t>总体看，集群资本“龙头充裕、中小偏紧”，需发展产业基金与供应链金融，引导长期资本投向关键技术与产能；用好保险补偿、首台套政策降低创新资本门槛，优化资本配置效率，统筹土地、能耗与原料保障，方能为集群跃升留出空间，要素供给的协同优化是支撑集群规模化扩张的前提条件，发挥要素禀赋优势、弥补要素短板，是下一步工作的着力点。</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与能耗是集群重要约束。钢城为老工业基地，园区用地逐步趋紧；锻造、热处理等工序能耗与碳排放较高，在“双碳”背景下节能降碳压力上升。精品钢产业全流程达环保绩效A级，钢城经济开发区被认定为省级绿色工业园区，为集群提供绿色承载基础，劳动力与资本等要素的组合效率，直接影响集群运行质量，统筹土地、能耗与原料保障，方能为集群跃升留出空间。</w:t>
      </w:r>
    </w:p>
    <w:p>
      <w:pPr>
        <w:spacing w:lineRule="exact" w:line="600" w:after="0"/>
        <w:ind w:firstLine="420"/>
      </w:pPr>
      <w:r>
        <w:rPr>
          <w:rFonts w:ascii="仿宋_GB2312" w:hAnsi="仿宋_GB2312" w:eastAsia="仿宋_GB2312"/>
          <w:b w:val="0"/>
          <w:sz w:val="32"/>
        </w:rPr>
        <w:t>政策层面，钢城区细化钢铁、建材碳达峰行动方案，主要污染物排放量较5年前降20.8%，万元GDP综合能耗年均降约10%；入选2025年度山东省工业资源综合利用试点基地。但对新上项目能耗、环评约束趋严，需以能效提升、绿电替代满足指标，要素供给的协同优化是支撑集群规模化扩张的前提条件，发挥要素禀赋优势、弥补要素短板，是下一步工作的着力点。</w:t>
      </w:r>
    </w:p>
    <w:p>
      <w:pPr>
        <w:spacing w:lineRule="exact" w:line="600" w:after="0"/>
        <w:ind w:firstLine="420"/>
      </w:pPr>
      <w:r>
        <w:rPr>
          <w:rFonts w:ascii="仿宋_GB2312" w:hAnsi="仿宋_GB2312" w:eastAsia="仿宋_GB2312"/>
          <w:b w:val="0"/>
          <w:sz w:val="32"/>
        </w:rPr>
        <w:t>总体看，土地能耗“约束趋紧但路径清晰”，绿色园区与节能改造是核心解法。需继续推广节能装备、余热利用与清洁低碳产品转化（如钢厂煤气高附加值转化），以绿色低碳对冲要素约束，保障项目落地与产能扩张，劳动力与资本等要素的组合效率，直接影响集群运行质量，统筹土地、能耗与原料保障，方能为集群跃升留出空间，要素供给的协同优化是支撑集群规模化扩张的前提条件。</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上游原材料依托山钢股份莱芜基地的精品钢，钢城区作为钢铁之城具备雄厚的特钢坯料供应基础，原料可得性与成本优势明显，是精密锻件产业发展的核心禀赋。但高端特种合金（超高强、超耐低温、耐蚀）部分牌号仍需外部采购，材料端存在短板，发挥要素禀赋优势、弥补要素短板，是下一步工作的着力点，劳动力与资本等要素的组合效率，直接影响集群运行质量。</w:t>
      </w:r>
    </w:p>
    <w:p>
      <w:pPr>
        <w:spacing w:lineRule="exact" w:line="600" w:after="0"/>
        <w:ind w:firstLine="420"/>
      </w:pPr>
      <w:r>
        <w:rPr>
          <w:rFonts w:ascii="仿宋_GB2312" w:hAnsi="仿宋_GB2312" w:eastAsia="仿宋_GB2312"/>
          <w:b w:val="0"/>
          <w:sz w:val="32"/>
        </w:rPr>
        <w:t>粉末冶金原料方面，鲁银新材料以氧化铁加工成钢铁粉末，为下游提供新材料，形成本地粉末原料保障；济南新艺以合金粉末压制成型。但部分高端合金粉末与添加剂仍依赖外部。总体看，原材料资源“普钢充裕、特钢偏紧”，需强化特种材料攻关，统筹土地、能耗与原料保障，方能为集群跃升留出空间，要素供给的协同优化是支撑集群规模化扩张的前提条件。</w:t>
      </w:r>
    </w:p>
    <w:p>
      <w:pPr>
        <w:spacing w:lineRule="exact" w:line="600" w:after="0"/>
        <w:ind w:firstLine="420"/>
      </w:pPr>
      <w:r>
        <w:rPr>
          <w:rFonts w:ascii="仿宋_GB2312" w:hAnsi="仿宋_GB2312" w:eastAsia="仿宋_GB2312"/>
          <w:b w:val="0"/>
          <w:sz w:val="32"/>
        </w:rPr>
        <w:t>因部分特种材料外部依赖，集群对上游价格波动敏感。需通过联合研发（如齿轮材料研发中心）、纵向一体化与战略储备，降低外部依赖与价格波动风险，稳固原材料保障，提升产业链供应链韧性，发挥要素禀赋优势、弥补要素短板，是下一步工作的着力点，劳动力与资本等要素的组合效率，直接影响集群运行质量，统筹土地、能耗与原料保障，方能为集群跃升留出空间。</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是集群主战场。产品广泛应用于汽车、轨道交通、风电、船舶、工程机械、航空航天等。金雷科技风电主轴全球配套，国内风电装机高增长带动需求；温岭精锻螺旋锥齿轮国内市占率61%，配套中国一汽、中国重汽、东风、陕汽、福田及美国美驰等；汇锋传动覆盖高铁车轴车轮、新能源电驱，市场结构的优化有助于降低对单一需求的依赖度。</w:t>
      </w:r>
    </w:p>
    <w:p>
      <w:pPr>
        <w:spacing w:lineRule="exact" w:line="600" w:after="0"/>
        <w:ind w:firstLine="420"/>
      </w:pPr>
      <w:r>
        <w:rPr>
          <w:rFonts w:ascii="仿宋_GB2312" w:hAnsi="仿宋_GB2312" w:eastAsia="仿宋_GB2312"/>
          <w:b w:val="0"/>
          <w:sz w:val="32"/>
        </w:rPr>
        <w:t>从内需结构看，新能源（风电、新能源汽车）、轨道交通、工程机械是增长最快方向。钢城区抢抓风电与新能源装备机遇，金雷主轴大型化巩固优势；新能源汽车减速箱轴齿（亿金传动）等新生项目快速落地，国内大循环为集群提供广阔需求基本盘，外向度的提升对增强集群抗风险能力和品牌影响具有积极作用，顺应需求端变化、加快产品升级，是巩固市场地位的现实要求。</w:t>
      </w:r>
    </w:p>
    <w:p>
      <w:pPr>
        <w:spacing w:lineRule="exact" w:line="600" w:after="0"/>
        <w:ind w:firstLine="420"/>
      </w:pPr>
      <w:r>
        <w:rPr>
          <w:rFonts w:ascii="仿宋_GB2312" w:hAnsi="仿宋_GB2312" w:eastAsia="仿宋_GB2312"/>
          <w:b w:val="0"/>
          <w:sz w:val="32"/>
        </w:rPr>
        <w:t>总体看，国内市场需求多元、增长稳健，集群在风电主轴、螺旋锥齿轮等细分领域具领先份额。需加强与中国重汽、中车、主机厂深度绑定，提升国产替代与配套比例，巩固国内市场主体地位与抗波动能力，内外市场协同开拓，将为集群增长打开更为广阔的空间，市场结构的优化有助于降低对单一需求的依赖度，外向度的提升对增强集群抗风险能力和品牌影响具有积极作用。</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部件出口为主。温岭精锻螺旋锥齿轮出口美国、德国、意大利、巴西等十余国；金雷科技风电主轴随全球风电装机出口配套；鲁银新材料粉末产品进入国际市场。但受国际地缘政治与贸易壁垒影响，高端锻件出口面临一定审查与认证要求，顺应需求端变化、加快产品升级，是巩固市场地位的现实要求，内外市场协同开拓，将为集群增长打开更为广阔的空间。</w:t>
      </w:r>
    </w:p>
    <w:p>
      <w:pPr>
        <w:spacing w:lineRule="exact" w:line="600" w:after="0"/>
        <w:ind w:firstLine="420"/>
      </w:pPr>
      <w:r>
        <w:rPr>
          <w:rFonts w:ascii="仿宋_GB2312" w:hAnsi="仿宋_GB2312" w:eastAsia="仿宋_GB2312"/>
          <w:b w:val="0"/>
          <w:sz w:val="32"/>
        </w:rPr>
        <w:t>从出口结构看，传动齿轮、风电主轴等中端部件出口占比较高，航空级与极端工况精密锻件出口受管制较多。集群企业以海外认证、本地化服务拓展市场，但整体外向度低于国内份额。总体看，外贸是补充性市场，需防范贸易摩擦冲击，市场结构的优化有助于降低对单一需求的依赖度，外向度的提升对增强集群抗风险能力和品牌影响具有积极作用。</w:t>
      </w:r>
    </w:p>
    <w:p>
      <w:pPr>
        <w:spacing w:lineRule="exact" w:line="600" w:after="0"/>
        <w:ind w:firstLine="420"/>
      </w:pPr>
      <w:r>
        <w:rPr>
          <w:rFonts w:ascii="仿宋_GB2312" w:hAnsi="仿宋_GB2312" w:eastAsia="仿宋_GB2312"/>
          <w:b w:val="0"/>
          <w:sz w:val="32"/>
        </w:rPr>
        <w:t>总体看，集群外贸“部件强、高端受限”，外向度中等。应内外贸并举，以国内大循环为主体、双循环促进，在合规前提下稳拓“一带一路”等新兴市场，分散单一市场风险，顺应需求端变化、加快产品升级，是巩固市场地位的现实要求，内外市场协同开拓，将为集群增长打开更为广阔的空间，市场结构的优化有助于降低对单一需求的依赖度。</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以“金雷”“温岭精锻”“汇锋”为龙头名片。金雷科技风电主轴全球市占率40%以上，树立全球专业品牌；温岭精锻获国家级绿色工厂、山东省制造业单项冠军、隐形冠军等荣誉，品牌影响力辐射全国；鲁银新材料为亚洲知名粉末冶金品牌，外向度的提升对增强集群抗风险能力和品牌影响具有积极作用，顺应需求端变化、加快产品升级，是巩固市场地位的现实要求。</w:t>
      </w:r>
    </w:p>
    <w:p>
      <w:pPr>
        <w:spacing w:lineRule="exact" w:line="600" w:after="0"/>
        <w:ind w:firstLine="420"/>
      </w:pPr>
      <w:r>
        <w:rPr>
          <w:rFonts w:ascii="仿宋_GB2312" w:hAnsi="仿宋_GB2312" w:eastAsia="仿宋_GB2312"/>
          <w:b w:val="0"/>
          <w:sz w:val="32"/>
        </w:rPr>
        <w:t>区域品牌方面，钢城区精密锻件产业集群是济南市首个国家级中小企业特色产业集群，城市“钢铁”名片与集群品牌相互赋能；集群培育国家单项冠军1家、小巨人3家，形成“区域+企业”双品牌矩阵，提升行业话语权，内外市场协同开拓，将为集群增长打开更为广阔的空间，市场结构的优化有助于降低对单一需求的依赖度，外向度的提升对增强集群抗风险能力和品牌影响具有积极作用。</w:t>
      </w:r>
    </w:p>
    <w:p>
      <w:pPr>
        <w:spacing w:lineRule="exact" w:line="600" w:after="0"/>
        <w:ind w:firstLine="420"/>
      </w:pPr>
      <w:r>
        <w:rPr>
          <w:rFonts w:ascii="仿宋_GB2312" w:hAnsi="仿宋_GB2312" w:eastAsia="仿宋_GB2312"/>
          <w:b w:val="0"/>
          <w:sz w:val="32"/>
        </w:rPr>
        <w:t>总体看，集群品牌“龙头强、区域响、细分精”，但中小品牌国际知名度有限。需以链主品牌带动、公共品牌推广、单项冠军培育结合，提升整体品牌溢价与全球认知度，顺应需求端变化、加快产品升级，是巩固市场地位的现实要求，内外市场协同开拓，将为集群增长打开更为广阔的空间，市场结构的优化有助于降低对单一需求的依赖度，外向度的提升对增强集群抗风险能力和品牌影响具有积极作用。</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高端化、绿色化、新兴化”趋势。风电大型化拉动大兆瓦主轴需求；新能源汽车轻量化与电驱化拉动精密轴齿；轨道交通、工程机械复苏带动齿轮桥壳；商业航天、低空经济开辟新空间。需求结构由传统燃油车向新能源、风电等战略新兴领域迁移，顺应需求端变化、加快产品升级，是巩固市场地位的现实要求，内外市场协同开拓，将为集群增长打开更为广阔的空间。</w:t>
      </w:r>
    </w:p>
    <w:p>
      <w:pPr>
        <w:spacing w:lineRule="exact" w:line="600" w:after="0"/>
        <w:ind w:firstLine="420"/>
      </w:pPr>
      <w:r>
        <w:rPr>
          <w:rFonts w:ascii="仿宋_GB2312" w:hAnsi="仿宋_GB2312" w:eastAsia="仿宋_GB2312"/>
          <w:b w:val="0"/>
          <w:sz w:val="32"/>
        </w:rPr>
        <w:t>从客户要求看，下游对锻件一致性、可靠性与认证要求显著提高，推动企业提升质量体系与中外船级社、主机厂认证能力。绿色低碳成为采购重要维度，绿色工厂、A级环保绩效在争取订单中具优势。需求变化倒逼集群向高质量、低碳化升级，市场结构的优化有助于降低对单一需求的依赖度，外向度的提升对增强集群抗风险能力和品牌影响具有积极作用。</w:t>
      </w:r>
    </w:p>
    <w:p>
      <w:pPr>
        <w:spacing w:lineRule="exact" w:line="600" w:after="0"/>
        <w:ind w:firstLine="420"/>
      </w:pPr>
      <w:r>
        <w:rPr>
          <w:rFonts w:ascii="仿宋_GB2312" w:hAnsi="仿宋_GB2312" w:eastAsia="仿宋_GB2312"/>
          <w:b w:val="0"/>
          <w:sz w:val="32"/>
        </w:rPr>
        <w:t>总体看，需求端变化带来重大机遇也提出更高要求。需紧跟风电、新能源、轨交等高增长赛道，提前布局产能与认证，以需求牵引创新，实现供给与需求的动态适配，顺应需求端变化、加快产品升级，是巩固市场地位的现实要求，内外市场协同开拓，将为集群增长打开更为广阔的空间，市场结构的优化有助于降低对单一需求的依赖度，外向度的提升对增强集群抗风险能力和品牌影响具有积极作用。</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精密锻件区域竞争加剧。江苏、浙江、河南及山东临沂、潍坊等地在锻件产能、风电主轴、汽车齿轮上各有优势；济南钢城以精品钢原料+全产业链+链主企业构筑壁垒，在风电主轴、螺旋锥齿轮细分领域具全球/全国领先，但在通用锻件上面临多地价格竞争，客观研判竞争格局与风险，是集群行稳致远的必要前提，统筹应对内外部挑战，关乎集群长期发展的稳定性与可持续性。</w:t>
      </w:r>
    </w:p>
    <w:p>
      <w:pPr>
        <w:spacing w:lineRule="exact" w:line="600" w:after="0"/>
        <w:ind w:firstLine="420"/>
      </w:pPr>
      <w:r>
        <w:rPr>
          <w:rFonts w:ascii="仿宋_GB2312" w:hAnsi="仿宋_GB2312" w:eastAsia="仿宋_GB2312"/>
          <w:b w:val="0"/>
          <w:sz w:val="32"/>
        </w:rPr>
        <w:t>从竞争要素看，各地竞相扩产风电主轴与汽车齿轮，阶段性产能过剩与价格竞争风险上升。钢城以链主规模、本地配套率与特种材料协同构筑壁垒，但需警惕同质化扩产与低端价格战。区域竞争总体有利技术进步，也倒逼钢城向高端差异化突围，上述竞争与风险因素需要在政策层面予以系统性回应，清醒认识短板与风险，有利于在发展中更好地稳中求进。</w:t>
      </w:r>
    </w:p>
    <w:p>
      <w:pPr>
        <w:spacing w:lineRule="exact" w:line="600" w:after="0"/>
        <w:ind w:firstLine="420"/>
      </w:pPr>
      <w:r>
        <w:rPr>
          <w:rFonts w:ascii="仿宋_GB2312" w:hAnsi="仿宋_GB2312" w:eastAsia="仿宋_GB2312"/>
          <w:b w:val="0"/>
          <w:sz w:val="32"/>
        </w:rPr>
        <w:t>总体看，区域竞争格局“前有标兵、后有追兵”，钢城需巩固链主与技术优势，强化应用场景绑定与绿色低碳标签，以差异化竞争巩固国家级地位，避免低端内卷，客观研判竞争格局与风险，是集群行稳致远的必要前提，统筹应对内外部挑战，关乎集群长期发展的稳定性与可持续性，上述竞争与风险因素需要在政策层面予以系统性回应，清醒认识短板与风险，有利于在发展中更好地稳中求进。</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结构性问题。一是企业规模“头重脚轻”，中小配套企业研发与抗风险能力弱；二是高端特种材料、精密工艺与终端集成短板，价值链高位占比低；三是中小企业融资、人才、用地能耗约束突出；四是平台开放共享与成果转化效率有待提高，客观研判竞争格局与风险，是集群行稳致远的必要前提，统筹应对内外部挑战，关乎集群长期发展的稳定性与可持续性。</w:t>
      </w:r>
    </w:p>
    <w:p>
      <w:pPr>
        <w:spacing w:lineRule="exact" w:line="600" w:after="0"/>
        <w:ind w:firstLine="420"/>
      </w:pPr>
      <w:r>
        <w:rPr>
          <w:rFonts w:ascii="仿宋_GB2312" w:hAnsi="仿宋_GB2312" w:eastAsia="仿宋_GB2312"/>
          <w:b w:val="0"/>
          <w:sz w:val="32"/>
        </w:rPr>
        <w:t>创新协同方面，平台虽多但面向中小企业开放共享不足，部分前沿技术从中试到放量周期长。同质竞争与要素紧约束并存，园区用地能耗趋紧。内部管理上，大中小企业融通机制、链主带动中小企业利益联结仍需深化，上述竞争与风险因素需要在政策层面予以系统性回应，清醒认识短板与风险，有利于在发展中更好地稳中求进，客观研判竞争格局与风险，是集群行稳致远的必要前提。</w:t>
      </w:r>
    </w:p>
    <w:p>
      <w:pPr>
        <w:spacing w:lineRule="exact" w:line="600" w:after="0"/>
        <w:ind w:firstLine="420"/>
      </w:pPr>
      <w:r>
        <w:rPr>
          <w:rFonts w:ascii="仿宋_GB2312" w:hAnsi="仿宋_GB2312" w:eastAsia="仿宋_GB2312"/>
          <w:b w:val="0"/>
          <w:sz w:val="32"/>
        </w:rPr>
        <w:t>总体看，内部问题集中在“材料短板、集成不足、要素偏紧、协同不深”四方面。需以补链强链、企业培育、要素保障与平台开放系统破解，推动由“部件强”向“全链强”转变，统筹应对内外部挑战，关乎集群长期发展的稳定性与可持续性，上述竞争与风险因素需要在政策层面予以系统性回应，清醒认识短板与风险，有利于在发展中更好地稳中求进。</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来自市场、技术与国际环境。风电、汽车等下游周期波动直接影响锻件需求；高端产品受出口管制与技术封锁影响，贸易摩擦可能冲击出口与市场准入。全球产能扩张可能引发价格下行，挤压利润，对成本管控弱的中小企业冲击大，客观研判竞争格局与风险，是集群行稳致远的必要前提，统筹应对内外部挑战，关乎集群长期发展的稳定性与可持续性。</w:t>
      </w:r>
    </w:p>
    <w:p>
      <w:pPr>
        <w:spacing w:lineRule="exact" w:line="600" w:after="0"/>
        <w:ind w:firstLine="420"/>
      </w:pPr>
      <w:r>
        <w:rPr>
          <w:rFonts w:ascii="仿宋_GB2312" w:hAnsi="仿宋_GB2312" w:eastAsia="仿宋_GB2312"/>
          <w:b w:val="0"/>
          <w:sz w:val="32"/>
        </w:rPr>
        <w:t>技术迭代风险方面，近净成形、增材制造等新工艺演进可能重塑竞争格局，若跟进迟缓将削弱优势。原材料（特钢、合金）价格大幅波动将传导至成本端。下游补贴与政策波动也影响需求节奏，上述竞争与风险因素需要在政策层面予以系统性回应，清醒认识短板与风险，有利于在发展中更好地稳中求进，客观研判竞争格局与风险，是集群行稳致远的必要前提。</w:t>
      </w:r>
    </w:p>
    <w:p>
      <w:pPr>
        <w:spacing w:lineRule="exact" w:line="600" w:after="0"/>
        <w:ind w:firstLine="420"/>
      </w:pPr>
      <w:r>
        <w:rPr>
          <w:rFonts w:ascii="仿宋_GB2312" w:hAnsi="仿宋_GB2312" w:eastAsia="仿宋_GB2312"/>
          <w:b w:val="0"/>
          <w:sz w:val="32"/>
        </w:rPr>
        <w:t>总体看，外部风险“周期、管制、迭代、波动”四类并存。需以国产替代、多元化市场、技术储备与供应链韧性建设对冲，健全风险预警与应对机制，提升抗外部冲击能力，统筹应对内外部挑战，关乎集群长期发展的稳定性与可持续性，上述竞争与风险因素需要在政策层面予以系统性回应，清醒认识短板与风险，有利于在发展中更好地稳中求进。</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体系完备。钢城区落实工业强区战略，实施“1+4+X”制造业链群提升行动与“3+2”主导产业集群化发展，精密锻件集群入选2023年度国家级中小企业特色产业集群，精品钢精深加工、粉末冶金入选省级特色产业集群，形成“国家—省—市”三级叠加的政策支撑，政策与营商环境的持续优化，为集群高质量发展提供了制度保障。</w:t>
      </w:r>
    </w:p>
    <w:p>
      <w:pPr>
        <w:spacing w:lineRule="exact" w:line="600" w:after="0"/>
        <w:ind w:firstLine="420"/>
      </w:pPr>
      <w:r>
        <w:rPr>
          <w:rFonts w:ascii="仿宋_GB2312" w:hAnsi="仿宋_GB2312" w:eastAsia="仿宋_GB2312"/>
          <w:b w:val="0"/>
          <w:sz w:val="32"/>
        </w:rPr>
        <w:t>在国家与省级层面，精密锻件属关键基础零部件，享有首台套、首批次应用保险补偿、重大专项等支持；钢城区对标全市“13+34”产业链推进体系，系统梳理8大标志性产业链与20条重点产业链并分类制定提升措施，方向明确、力度较大，各类扶持举措的协同落地，正不断转化为企业可感可及的发展红利，健全公共服务与协会功能，是提升治理效能的重要抓手。</w:t>
      </w:r>
    </w:p>
    <w:p>
      <w:pPr>
        <w:spacing w:lineRule="exact" w:line="600" w:after="0"/>
        <w:ind w:firstLine="420"/>
      </w:pPr>
      <w:r>
        <w:rPr>
          <w:rFonts w:ascii="仿宋_GB2312" w:hAnsi="仿宋_GB2312" w:eastAsia="仿宋_GB2312"/>
          <w:b w:val="0"/>
          <w:sz w:val="32"/>
        </w:rPr>
        <w:t>总体看，顶层政策为集群提供稳定预期。需抓好政策落地兑现，强化部门协同，确保政策红利充分释放到企业与项目，巩固国家级特色产业集群地位，上下贯通的政策体系，增强了集群应对外部冲击的韧性，政策与营商环境的持续优化，为集群高质量发展提供了制度保障，各类扶持举措的协同落地，正不断转化为企业可感可及的发展红利，健全公共服务与协会功能，是提升治理效能的重要抓手。</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精准有力。钢城区深入落实“钢城人才20条”，培育高层次高技能人才211人、引进青年人才340人；强化金融服务，2024年帮助16个重点项目、935家中小微企业新增贷款29.1亿元；推行开办企业“6120”标准、“全程帮办、一窗受理、一网通办”，上下贯通的政策体系，增强了集群应对外部冲击的韧性，政策与营商环境的持续优化，为集群高质量发展提供了制度保障。</w:t>
      </w:r>
    </w:p>
    <w:p>
      <w:pPr>
        <w:spacing w:lineRule="exact" w:line="600" w:after="0"/>
        <w:ind w:firstLine="420"/>
      </w:pPr>
      <w:r>
        <w:rPr>
          <w:rFonts w:ascii="仿宋_GB2312" w:hAnsi="仿宋_GB2312" w:eastAsia="仿宋_GB2312"/>
          <w:b w:val="0"/>
          <w:sz w:val="32"/>
        </w:rPr>
        <w:t>要素扶持上，钢城区开展集中服务企业活动，组织精品钢、装配式建筑等领域供需对接27场，推动本地配套；实施“老树发新枝”项目（如亿金传动等38个、总投资32亿元）激活存量企业；对专精特新、单项冠军企业给予重点倾斜，开展研发活动企业占比超60%，各类扶持举措的协同落地，正不断转化为企业可感可及的发展红利，健全公共服务与协会功能，是提升治理效能的重要抓手。</w:t>
      </w:r>
    </w:p>
    <w:p>
      <w:pPr>
        <w:spacing w:lineRule="exact" w:line="600" w:after="0"/>
        <w:ind w:firstLine="420"/>
      </w:pPr>
      <w:r>
        <w:rPr>
          <w:rFonts w:ascii="仿宋_GB2312" w:hAnsi="仿宋_GB2312" w:eastAsia="仿宋_GB2312"/>
          <w:b w:val="0"/>
          <w:sz w:val="32"/>
        </w:rPr>
        <w:t>总体看，地方扶持“人才+金融+服务”组合发力，针对性强、获得感高。需保持政策连续性与可预期性，扩大对中小企业覆盖面，提升扶持精准度与时效性，上下贯通的政策体系，增强了集群应对外部冲击的韧性，政策与营商环境的持续优化，为集群高质量发展提供了制度保障，各类扶持举措的协同落地，正不断转化为企业可感可及的发展红利。</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体系较完善。钢城区建成科创中心、产业研发中心（主体工程基本完工），提供中试、检测、成果转化服务；设立市级及以上重点实验室、企业技术中心等创新平台100个。钢城经济开发区为省级绿色工业园区，市政与物流配套随项目建设同步完善，健全公共服务与协会功能，是提升治理效能的重要抓手，上下贯通的政策体系，增强了集群应对外部冲击的韧性。</w:t>
      </w:r>
    </w:p>
    <w:p>
      <w:pPr>
        <w:spacing w:lineRule="exact" w:line="600" w:after="0"/>
        <w:ind w:firstLine="420"/>
      </w:pPr>
      <w:r>
        <w:rPr>
          <w:rFonts w:ascii="仿宋_GB2312" w:hAnsi="仿宋_GB2312" w:eastAsia="仿宋_GB2312"/>
          <w:b w:val="0"/>
          <w:sz w:val="32"/>
        </w:rPr>
        <w:t>基础设施方面，园区道路、供能、排污等配套齐全，精品钢全流程环保A级为集群绿色承载提供基础；常态化供需对接会、产业研发中心搭建公共交流平台。政务服务推行“高效办成一件事”，审批效率显著提升，政策与营商环境的持续优化，为集群高质量发展提供了制度保障，各类扶持举措的协同落地，正不断转化为企业可感可及的发展红利。</w:t>
      </w:r>
    </w:p>
    <w:p>
      <w:pPr>
        <w:spacing w:lineRule="exact" w:line="600" w:after="0"/>
        <w:ind w:firstLine="420"/>
      </w:pPr>
      <w:r>
        <w:rPr>
          <w:rFonts w:ascii="仿宋_GB2312" w:hAnsi="仿宋_GB2312" w:eastAsia="仿宋_GB2312"/>
          <w:b w:val="0"/>
          <w:sz w:val="32"/>
        </w:rPr>
        <w:t>总体看，公共配套“平台+园区+服务”三位一体，支撑能力强。需进一步提升对中小企业开放共享水平，完善中试、检测、算力等新型公共服务，降低配套使用成本，健全公共服务与协会功能，是提升治理效能的重要抓手，上下贯通的政策体系，增强了集群应对外部冲击的韧性，政策与营商环境的持续优化，为集群高质量发展提供了制度保障。</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作用突出。钢城区通过政企协同机制，常态化举办专项供需对接会，链接产业链优质资源；依托“链上钢城”平台推动山钢与本土供应商合作，提升本地配套率，协会在产学研对接、标准制定、市场拓展中发挥桥梁作用，各类扶持举措的协同落地，正不断转化为企业可感可及的发展红利，健全公共服务与协会功能，是提升治理效能的重要抓手。</w:t>
      </w:r>
    </w:p>
    <w:p>
      <w:pPr>
        <w:spacing w:lineRule="exact" w:line="600" w:after="0"/>
        <w:ind w:firstLine="420"/>
      </w:pPr>
      <w:r>
        <w:rPr>
          <w:rFonts w:ascii="仿宋_GB2312" w:hAnsi="仿宋_GB2312" w:eastAsia="仿宋_GB2312"/>
          <w:b w:val="0"/>
          <w:sz w:val="32"/>
        </w:rPr>
        <w:t>行业组织协助企业参与中国锻压协会神工奖等行业活动，集聚高端人才与创新资源；在政府与企业间反馈诉求、参与政策建议，助力优化营商环境。链主企业牵头上下游协作，形成事实上的产业协同治理网络，上下贯通的政策体系，增强了集群应对外部冲击的韧性，政策与营商环境的持续优化，为集群高质量发展提供了制度保障，各类扶持举措的协同落地，正不断转化为企业可感可及的发展红利。</w:t>
      </w:r>
    </w:p>
    <w:p>
      <w:pPr>
        <w:spacing w:lineRule="exact" w:line="600" w:after="0"/>
        <w:ind w:firstLine="420"/>
      </w:pPr>
      <w:r>
        <w:rPr>
          <w:rFonts w:ascii="仿宋_GB2312" w:hAnsi="仿宋_GB2312" w:eastAsia="仿宋_GB2312"/>
          <w:b w:val="0"/>
          <w:sz w:val="32"/>
        </w:rPr>
        <w:t>总体看，行业协会“平台牵头、活动搭台、政企纽带”功能显现，是集群治理重要一环。需进一步增强协会专业化服务能力，扩大中小企业参与度，提升行业自律与协同治理水平，健全公共服务与协会功能，是提升治理效能的重要抓手，上下贯通的政策体系，增强了集群应对外部冲击的韧性，政策与营商环境的持续优化，为集群高质量发展提供了制度保障。</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2023年集群产值113亿元，2024年150家企业产值135亿元、增长8.9%；钢城区“3+2”主导产业2024年产值700亿元、占规上工业93%，精密锻件是核心增量。集群成为工业高质量发展“发动机”，对全区工业经济贡献突出，发展成效的多维显现，印证了集群化发展道路的正确性与有效性，经济、就业与社会效应的叠加，增强了县域发展的内生动力。</w:t>
      </w:r>
    </w:p>
    <w:p>
      <w:pPr>
        <w:spacing w:lineRule="exact" w:line="600" w:after="0"/>
        <w:ind w:firstLine="420"/>
      </w:pPr>
      <w:r>
        <w:rPr>
          <w:rFonts w:ascii="仿宋_GB2312" w:hAnsi="仿宋_GB2312" w:eastAsia="仿宋_GB2312"/>
          <w:b w:val="0"/>
          <w:sz w:val="32"/>
        </w:rPr>
        <w:t>从效益看，集群培育上市公司1家、规上49家，金雷、汇锋等盈利能力强；实施技改项目20个、总投资28.72亿元，投资后劲足。国家级、省级集群称号与政策红利持续转化为经济增量，对地方税收与产值支撑明显，上述效应外溢，对周边区域协同发展形成了良好示范，综合效应的持续释放，彰显了特色产业集群的富民强县价值，发展成效的多维显现，印证了集群化发展道路的正确性与有效性。</w:t>
      </w:r>
    </w:p>
    <w:p>
      <w:pPr>
        <w:spacing w:lineRule="exact" w:line="600" w:after="0"/>
        <w:ind w:firstLine="420"/>
      </w:pPr>
      <w:r>
        <w:rPr>
          <w:rFonts w:ascii="仿宋_GB2312" w:hAnsi="仿宋_GB2312" w:eastAsia="仿宋_GB2312"/>
          <w:b w:val="0"/>
          <w:sz w:val="32"/>
        </w:rPr>
        <w:t>总体看，集群经济效应“规模稳增、效益较好、带动有力”，是钢城新旧动能转换重要引擎。需以高端化、绿色化提升单位产出与附加值，巩固可持续性与抗周期性，经济、就业与社会效应的叠加，增强了县域发展的内生动力，上述效应外溢，对周边区域协同发展形成了良好示范，综合效应的持续释放，彰显了特色产业集群的富民强县价值，发展成效的多维显现，印证了集群化发展道路的正确性与有效性。</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可观。集群以金雷、汇锋、温岭精锻等龙头带动，145家企业涵盖研发、锻造、热处理、机加工、检测、销售等环节，直接和间接带动大量产业工人与工程技术人员就业。精密锻件属制造密集型，对高技能岗位与产业工人均有较强吸纳能力，经济、就业与社会效应的叠加，增强了县域发展的内生动力，上述效应外溢，对周边区域协同发展形成了良好示范。</w:t>
      </w:r>
    </w:p>
    <w:p>
      <w:pPr>
        <w:spacing w:lineRule="exact" w:line="600" w:after="0"/>
        <w:ind w:firstLine="420"/>
      </w:pPr>
      <w:r>
        <w:rPr>
          <w:rFonts w:ascii="仿宋_GB2312" w:hAnsi="仿宋_GB2312" w:eastAsia="仿宋_GB2312"/>
          <w:b w:val="0"/>
          <w:sz w:val="32"/>
        </w:rPr>
        <w:t>从人才结构看，集群集聚大批锻造与齿轮工程人才，并通过职业院校、实训基地培养技能工人，形成稳定就业基本盘。龙头扩张与重点项目（金雷科创产业园等）持续创造新岗位，对钢城留住青年人才、优化就业结构具积极作用，综合效应的持续释放，彰显了特色产业集群的富民强县价值，发展成效的多维显现，印证了集群化发展道路的正确性与有效性。</w:t>
      </w:r>
    </w:p>
    <w:p>
      <w:pPr>
        <w:spacing w:lineRule="exact" w:line="600" w:after="0"/>
        <w:ind w:firstLine="420"/>
      </w:pPr>
      <w:r>
        <w:rPr>
          <w:rFonts w:ascii="仿宋_GB2312" w:hAnsi="仿宋_GB2312" w:eastAsia="仿宋_GB2312"/>
          <w:b w:val="0"/>
          <w:sz w:val="32"/>
        </w:rPr>
        <w:t>总体看，就业效应“量大、质优、带动广”，有助于稳定区域就业与人才生态。需加强职业技能提升与产教融合，以就业质量反哺产业升级，形成人才与产业良性循环，经济、就业与社会效应的叠加，增强了县域发展的内生动力，上述效应外溢，对周边区域协同发展形成了良好示范，综合效应的持续释放，彰显了特色产业集群的富民强县价值。</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明显。精密锻件作为基础零部件，技术外溢至汽车、风电、轨交、工程机械等多个下游产业，带动相关装备制造升级。钢城“链上钢城”模式推动山钢与本土供应商合作，提升铁精粉等本地配套率，放大产业协同溢出，发展成效的多维显现，印证了集群化发展道路的正确性与有效性，经济、就业与社会效应的叠加，增强了县域发展的内生动力。</w:t>
      </w:r>
    </w:p>
    <w:p>
      <w:pPr>
        <w:spacing w:lineRule="exact" w:line="600" w:after="0"/>
        <w:ind w:firstLine="420"/>
      </w:pPr>
      <w:r>
        <w:rPr>
          <w:rFonts w:ascii="仿宋_GB2312" w:hAnsi="仿宋_GB2312" w:eastAsia="仿宋_GB2312"/>
          <w:b w:val="0"/>
          <w:sz w:val="32"/>
        </w:rPr>
        <w:t>创新溢出方面，汇锋—山钢齿轮材料研发中心等平台技术外溢，提升全区新材料与零部件能级；科创中心、产业研发中心经验向其他产业链复制。绿色制造（A级环保、绿色园区）经验具示范溢出，推动区域低碳转型，上述效应外溢，对周边区域协同发展形成了良好示范，综合效应的持续释放，彰显了特色产业集群的富民强县价值，发展成效的多维显现，印证了集群化发展道路的正确性与有效性。</w:t>
      </w:r>
    </w:p>
    <w:p>
      <w:pPr>
        <w:spacing w:lineRule="exact" w:line="600" w:after="0"/>
        <w:ind w:firstLine="420"/>
      </w:pPr>
      <w:r>
        <w:rPr>
          <w:rFonts w:ascii="仿宋_GB2312" w:hAnsi="仿宋_GB2312" w:eastAsia="仿宋_GB2312"/>
          <w:b w:val="0"/>
          <w:sz w:val="32"/>
        </w:rPr>
        <w:t>总体看，溢出效应“技术+产业+绿色”多维释放，集群对区域经济的乘数效应较强。需强化跨产业协同与平台开放，扩大溢出半径，打造以精密锻件为核的先进制造生态圈，经济、就业与社会效应的叠加，增强了县域发展的内生动力，上述效应外溢，对周边区域协同发展形成了良好示范，综合效应的持续释放，彰显了特色产业集群的富民强县价值。</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积极。精密锻件自主化关乎装备制造安全，钢城实现风电主轴、螺旋锥齿轮等关键部件国产化突破，增强基础零部件自主可控能力。集群发展提升城市产业能级与“钢铁之城”美誉度，增强社会认同感与城市吸引力，发展成效的多维显现，印证了集群化发展道路的正确性与有效性，经济、就业与社会效应的叠加，增强了县域发展的内生动力。</w:t>
      </w:r>
    </w:p>
    <w:p>
      <w:pPr>
        <w:spacing w:lineRule="exact" w:line="600" w:after="0"/>
        <w:ind w:firstLine="420"/>
      </w:pPr>
      <w:r>
        <w:rPr>
          <w:rFonts w:ascii="仿宋_GB2312" w:hAnsi="仿宋_GB2312" w:eastAsia="仿宋_GB2312"/>
          <w:b w:val="0"/>
          <w:sz w:val="32"/>
        </w:rPr>
        <w:t>绿色转型方面，精品钢A级环保绩效、省级绿色工业园区降低碳排放，树立工业绿色样板，惠及生态环境。产学研协同促进人才培养与社会科普，弘扬自主创新与工匠精神，形成正向社会价值导向，上述效应外溢，对周边区域协同发展形成了良好示范，综合效应的持续释放，彰显了特色产业集群的富民强县价值，发展成效的多维显现，印证了集群化发展道路的正确性与有效性。</w:t>
      </w:r>
    </w:p>
    <w:p>
      <w:pPr>
        <w:spacing w:lineRule="exact" w:line="600" w:after="0"/>
        <w:ind w:firstLine="420"/>
      </w:pPr>
      <w:r>
        <w:rPr>
          <w:rFonts w:ascii="仿宋_GB2312" w:hAnsi="仿宋_GB2312" w:eastAsia="仿宋_GB2312"/>
          <w:b w:val="0"/>
          <w:sz w:val="32"/>
        </w:rPr>
        <w:t>总体看，社会效应“安全+绿色+认同”兼具，集群不仅是经济增长点，更是城市战略名片与社会正能量载体。需继续讲好自主创新故事，扩大社会协同与公众参与，提升社会价值与可持续性，经济、就业与社会效应的叠加，增强了县域发展的内生动力，上述效应外溢，对周边区域协同发展形成了良好示范，综合效应的持续释放，彰显了特色产业集群的富民强县价值。</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可归纳为四类：一是材料短板，高端特种钢与合金部分牌号依赖外部，自给不足；二是集成不足，终端系统集成与品牌整机偏少，价值链高位占比低；三是要素偏紧，中小企业融资、人才、用地能耗约束突出；四是协同不深，平台开放与成果转化效率待提高，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从外部看，区域同质化扩产引发价格竞争，国际管制与贸易摩擦影响高端出口，技术迭代与下游政策波动带来不确定性。内外问题叠加，要求集群以差异化、高端化、绿色化为主线系统破题，避免低端内卷与路径锁定，系统施策将推动集群由规模领先加快迈向价值与质量领先，坚持问题导向与目标导向相结合，方能把蓝图转化为实效，上述路径方向相互支撑，需一体推进、系统集成、久久为功。</w:t>
      </w:r>
    </w:p>
    <w:p>
      <w:pPr>
        <w:spacing w:lineRule="exact" w:line="600" w:after="0"/>
        <w:ind w:firstLine="420"/>
      </w:pPr>
      <w:r>
        <w:rPr>
          <w:rFonts w:ascii="仿宋_GB2312" w:hAnsi="仿宋_GB2312" w:eastAsia="仿宋_GB2312"/>
          <w:b w:val="0"/>
          <w:sz w:val="32"/>
        </w:rPr>
        <w:t>总体判断，集群基础雄厚、链条完整、平台密集、链主领先，具备向更高能级跃升条件；短板与风险可控但需重点攻坚。下一步应围绕补链强链延链、企业培育、创新提升与要素保障协同推进，实现由“部件强”向“全链强”跨越，各项对策的落实，有赖于政府、企业与社会各方的协同发力，系统施策将推动集群由规模领先加快迈向价值与质量领先。</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攻关超高强、超耐低温、耐蚀等特种锻件用钢与合金，降低材料外部依赖；提升近净成形、精密热处理等工艺能力，突破高端数控锻压与检测装备国产化。强链方面，巩固金雷主轴、温岭精锻齿轮的链主地位，强化“原料—锻件—部件”技术与成本优势，坚持问题导向与目标导向相结合，方能把蓝图转化为实效，上述路径方向相互支撑，需一体推进、系统集成、久久为功。</w:t>
      </w:r>
    </w:p>
    <w:p>
      <w:pPr>
        <w:spacing w:lineRule="exact" w:line="600" w:after="0"/>
        <w:ind w:firstLine="420"/>
      </w:pPr>
      <w:r>
        <w:rPr>
          <w:rFonts w:ascii="仿宋_GB2312" w:hAnsi="仿宋_GB2312" w:eastAsia="仿宋_GB2312"/>
          <w:b w:val="0"/>
          <w:sz w:val="32"/>
        </w:rPr>
        <w:t>延链方面，向风电整机配套、新能源汽车电驱总成、轨道交通与工程机械高端部件延伸，发展“材料+部件+总成+服务”一体化能力，提高终端自给率与品牌溢价。依托绿色园区与A级环保优势，打造低碳锻件产品，拓展绿色供应链市场，各项对策的落实，有赖于政府、企业与社会各方的协同发力，系统施策将推动集群由规模领先加快迈向价值与质量领先。</w:t>
      </w:r>
    </w:p>
    <w:p>
      <w:pPr>
        <w:spacing w:lineRule="exact" w:line="600" w:after="0"/>
        <w:ind w:firstLine="420"/>
      </w:pPr>
      <w:r>
        <w:rPr>
          <w:rFonts w:ascii="仿宋_GB2312" w:hAnsi="仿宋_GB2312" w:eastAsia="仿宋_GB2312"/>
          <w:b w:val="0"/>
          <w:sz w:val="32"/>
        </w:rPr>
        <w:t>总体看，补链强链延链应“补短板、固优势、拓应用”并举，以应用场景绑定带动产业链向高端跃升，形成更具韧性与附加值的产业格局，坚持问题导向与目标导向相结合，方能把蓝图转化为实效，上述路径方向相互支撑，需一体推进、系统集成、久久为功，各项对策的落实，有赖于政府、企业与社会各方的协同发力，系统施策将推动集群由规模领先加快迈向价值与质量领先。</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领航+专精特新”企业培育工程。支持金雷、汇锋、温岭精锻、鲁银等链主扩张研发与产能，发挥虹吸效应；遴选中小配套企业梯度培育，推动向专精特新“小巨人”、单项冠军升级，如支持邦巨实业、亿金传动、济南新艺等成长，坚持问题导向与目标导向相结合，方能把蓝图转化为实效，上述路径方向相互支撑，需一体推进、系统集成、久久为功。</w:t>
      </w:r>
    </w:p>
    <w:p>
      <w:pPr>
        <w:spacing w:lineRule="exact" w:line="600" w:after="0"/>
        <w:ind w:firstLine="420"/>
      </w:pPr>
      <w:r>
        <w:rPr>
          <w:rFonts w:ascii="仿宋_GB2312" w:hAnsi="仿宋_GB2312" w:eastAsia="仿宋_GB2312"/>
          <w:b w:val="0"/>
          <w:sz w:val="32"/>
        </w:rPr>
        <w:t>完善大中小企业融通机制，以链主订单、技术、平台开放带动中小企业，构建稳定利益联结；用好产业基金、风险补偿与信贷投放，缓解融资难；鼓励中小企业“抱团”技改与联合创新，提升整体配套能力与抗风险水平，各项对策的落实，有赖于政府、企业与社会各方的协同发力，系统施策将推动集群由规模领先加快迈向价值与质量领先，坚持问题导向与目标导向相结合，方能把蓝图转化为实效。</w:t>
      </w:r>
    </w:p>
    <w:p>
      <w:pPr>
        <w:spacing w:lineRule="exact" w:line="600" w:after="0"/>
        <w:ind w:firstLine="420"/>
      </w:pPr>
      <w:r>
        <w:rPr>
          <w:rFonts w:ascii="仿宋_GB2312" w:hAnsi="仿宋_GB2312" w:eastAsia="仿宋_GB2312"/>
          <w:b w:val="0"/>
          <w:sz w:val="32"/>
        </w:rPr>
        <w:t>总体看，企业培育应“抓龙头、强中小、促融通”，形成大中小企业协同共生的企业生态，筑牢集群微观基础，上述路径方向相互支撑，需一体推进、系统集成、久久为功，各项对策的落实，有赖于政府、企业与社会各方的协同发力，系统施策将推动集群由规模领先加快迈向价值与质量领先，坚持问题导向与目标导向相结合，方能把蓝图转化为实效。</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主体+平台赋能”创新体系。扩大研发投入覆盖面，完善“产业出题、科技解题”机制；深化齿轮材料研发中心等产学研协同，聚焦特种材料、近净成形、高端装备方向攻关；提升科创中心、产业研发中心对中小企业开放度，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建设中试放大与概念验证平台，缩短前沿技术从中试到量产周期；支持企业与中车、主机厂等头部用户联合开发，加速成果产业化；加强知识产权与标准布局，提升国际话语权。引进高端人才，深化产教融合与校企协同育人，系统施策将推动集群由规模领先加快迈向价值与质量领先，坚持问题导向与目标导向相结合，方能把蓝图转化为实效，上述路径方向相互支撑，需一体推进、系统集成、久久为功。</w:t>
      </w:r>
    </w:p>
    <w:p>
      <w:pPr>
        <w:spacing w:lineRule="exact" w:line="600" w:after="0"/>
        <w:ind w:firstLine="420"/>
      </w:pPr>
      <w:r>
        <w:rPr>
          <w:rFonts w:ascii="仿宋_GB2312" w:hAnsi="仿宋_GB2312" w:eastAsia="仿宋_GB2312"/>
          <w:b w:val="0"/>
          <w:sz w:val="32"/>
        </w:rPr>
        <w:t>总体看，创新提升应“投入+平台+转化+人才”四位一体，以高水平科技自立自强巩固技术领先优势，驱动集群向价值链高端攀升，各项对策的落实，有赖于政府、企业与社会各方的协同发力，系统施策将推动集群由规模领先加快迈向价值与质量领先，坚持问题导向与目标导向相结合，方能把蓝图转化为实效，上述路径方向相互支撑，需一体推进、系统集成、久久为功。</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破解土地能耗约束，扩大绿色园区与节能改造覆盖面，提升能效；对重点项目实行能耗、环评、用地“要素跟着项目走”，保障落地。拓宽资本供给，发展长期产业基金与供应链金融，引导低成本长期资本投向关键技术与产能，各项对策的落实，有赖于政府、企业与社会各方的协同发力，系统施策将推动集群由规模领先加快迈向价值与质量领先。</w:t>
      </w:r>
    </w:p>
    <w:p>
      <w:pPr>
        <w:spacing w:lineRule="exact" w:line="600" w:after="0"/>
        <w:ind w:firstLine="420"/>
      </w:pPr>
      <w:r>
        <w:rPr>
          <w:rFonts w:ascii="仿宋_GB2312" w:hAnsi="仿宋_GB2312" w:eastAsia="仿宋_GB2312"/>
          <w:b w:val="0"/>
          <w:sz w:val="32"/>
        </w:rPr>
        <w:t>强化人才保障，落实“钢城人才20条”，扩大工程师与高技能工人供给；完善减负政策，减轻企业成本。建立原材料战略储备与价格监测，降低特钢、合金波动风险，稳固供应链韧性，坚持问题导向与目标导向相结合，方能把蓝图转化为实效，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总体看，要素保障应“绿电+资本+人才+原料”协同发力，以新型要素供给破解传统约束，为集群扩量提质提供坚实支撑，系统施策将推动集群由规模领先加快迈向价值与质量领先，坚持问题导向与目标导向相结合，方能把蓝图转化为实效，上述路径方向相互支撑，需一体推进、系统集成、久久为功，各项对策的落实，有赖于政府、企业与社会各方的协同发力。</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优化政策供给，保持工业强区战略与“3+2”主导产业政策连续性，抓好兑现落地；扩大首台套、首批次应用保险补偿范围，降低创新风险。健全产业链专班机制，强化部门协同与市县一体化推进，提升服务响应效率与企业获得感，系统施策将推动集群由规模领先加快迈向价值与质量领先，坚持问题导向与目标导向相结合，方能把蓝图转化为实效。</w:t>
      </w:r>
    </w:p>
    <w:p>
      <w:pPr>
        <w:spacing w:lineRule="exact" w:line="600" w:after="0"/>
        <w:ind w:firstLine="420"/>
      </w:pPr>
      <w:r>
        <w:rPr>
          <w:rFonts w:ascii="仿宋_GB2312" w:hAnsi="仿宋_GB2312" w:eastAsia="仿宋_GB2312"/>
          <w:b w:val="0"/>
          <w:sz w:val="32"/>
        </w:rPr>
        <w:t>深化对内对外开放，融入全市“13+34”产业链体系与胶东经济圈协同，拓展新能源、低空经济等新业态；在合规前提下稳拓国际市场，分散风险。完善统计监测与风险评估，建立集群运行预警机制，提升政策前瞻性，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总体看，政策优化应“稳预期、强兑现、拓空间、防风险”并重，以高水平营商环境与精准政策持续释放集群发展潜能，巩固国家级特色产业集群引领地位，系统施策将推动集群由规模领先加快迈向价值与质量领先，坚持问题导向与目标导向相结合，方能把蓝图转化为实效，上述路径方向相互支撑，需一体推进、系统集成、久久为功，各项对策的落实，有赖于政府、企业与社会各方的协同发力。</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济南市工业和信息化局：《钢城区：产业聚“链”成群，赋能工业强区建设》（2023）https://jnjxw.jinan.gov.cn/col12909/art/2023/art_12909_4778609.html</w:t>
      </w:r>
    </w:p>
    <w:p>
      <w:pPr>
        <w:spacing w:lineRule="exact" w:line="600" w:after="0"/>
        <w:ind w:firstLine="0"/>
      </w:pPr>
      <w:r>
        <w:rPr>
          <w:rFonts w:ascii="仿宋_GB2312" w:hAnsi="仿宋_GB2312" w:eastAsia="仿宋_GB2312"/>
          <w:b w:val="0"/>
          <w:sz w:val="32"/>
        </w:rPr>
        <w:t>2. 钢城区政府：《【钢城税务】为精密锻件产业集群高质量发展服务》http://www.gangcheng.gov.cn/gongkai/site_gangchengquqswjd/channel_6389b274375991828264c11c/doc_65d83ec1e7d36fd897a5e235.html</w:t>
      </w:r>
    </w:p>
    <w:p>
      <w:pPr>
        <w:spacing w:lineRule="exact" w:line="600" w:after="0"/>
        <w:ind w:firstLine="0"/>
      </w:pPr>
      <w:r>
        <w:rPr>
          <w:rFonts w:ascii="仿宋_GB2312" w:hAnsi="仿宋_GB2312" w:eastAsia="仿宋_GB2312"/>
          <w:b w:val="0"/>
          <w:sz w:val="32"/>
        </w:rPr>
        <w:t>3. 新华网山东/大众日报：《济南市钢城区：“链”上钢城，产业集群成势》（2025-07-31）http://sd.xinhuanet.com/20250731/dc17ea462ec9482b93f6420376b92bd1/c.html</w:t>
      </w:r>
    </w:p>
    <w:p>
      <w:pPr>
        <w:spacing w:lineRule="exact" w:line="600" w:after="0"/>
        <w:ind w:firstLine="0"/>
      </w:pPr>
      <w:r>
        <w:rPr>
          <w:rFonts w:ascii="仿宋_GB2312" w:hAnsi="仿宋_GB2312" w:eastAsia="仿宋_GB2312"/>
          <w:b w:val="0"/>
          <w:sz w:val="32"/>
        </w:rPr>
        <w:t>4. 新浪财经：《打造专精特新特色产业集群》（2023-12-01，数据来源：山东济南钢城经济开发区管理委员会）https://finance.sina.com.cn/jjxw/2023-12-01/doc-imzwncti7849591.shtml</w:t>
      </w:r>
    </w:p>
    <w:p>
      <w:pPr>
        <w:spacing w:lineRule="exact" w:line="600" w:after="0"/>
        <w:ind w:firstLine="0"/>
      </w:pPr>
      <w:r>
        <w:rPr>
          <w:rFonts w:ascii="仿宋_GB2312" w:hAnsi="仿宋_GB2312" w:eastAsia="仿宋_GB2312"/>
          <w:b w:val="0"/>
          <w:sz w:val="32"/>
        </w:rPr>
        <w:t>5. 中国工业新闻网：《推进“3+2”主导产业集群化发展，济南市钢城区增强发展内生动力》https://www.cinn.cn/p/429106.html</w:t>
      </w:r>
    </w:p>
    <w:p>
      <w:pPr>
        <w:spacing w:lineRule="exact" w:line="600" w:after="0"/>
        <w:ind w:firstLine="0"/>
      </w:pPr>
      <w:r>
        <w:rPr>
          <w:rFonts w:ascii="仿宋_GB2312" w:hAnsi="仿宋_GB2312" w:eastAsia="仿宋_GB2312"/>
          <w:b w:val="0"/>
          <w:sz w:val="32"/>
        </w:rPr>
        <w:t>6. 钢城区政府：《关于济南市钢城区2024年国民经济和社会发展计划执行情况与2025年计划草案的报告》http://www.gangcheng.gov.cn/gongkai/site_gangchengquqfzggjc/channel_6389b1eb375991828264b606/doc_67eca41eb2eff34a156332a7.html</w:t>
      </w:r>
    </w:p>
    <w:p>
      <w:pPr>
        <w:spacing w:lineRule="exact" w:line="600" w:after="0"/>
        <w:ind w:firstLine="0"/>
      </w:pPr>
      <w:r>
        <w:rPr>
          <w:rFonts w:ascii="仿宋_GB2312" w:hAnsi="仿宋_GB2312" w:eastAsia="仿宋_GB2312"/>
          <w:b w:val="0"/>
          <w:sz w:val="32"/>
        </w:rPr>
        <w:t>7. 钢城区政府：《政府工作报告》（2025）http://www.gangcheng.gov.cn/resources/public/20250224/67bc287cbb48eb9ed656c02a.pdf</w:t>
      </w:r>
    </w:p>
    <w:p>
      <w:pPr>
        <w:spacing w:lineRule="exact" w:line="600" w:after="0"/>
        <w:ind w:firstLine="0"/>
      </w:pPr>
      <w:r>
        <w:rPr>
          <w:rFonts w:ascii="仿宋_GB2312" w:hAnsi="仿宋_GB2312" w:eastAsia="仿宋_GB2312"/>
          <w:b w:val="0"/>
          <w:sz w:val="32"/>
        </w:rPr>
        <w:t>8. 山东温岭精锻科技有限公司官网（产品与产能数据）https://sdjingduan.com/</w:t>
      </w:r>
    </w:p>
    <w:p>
      <w:pPr>
        <w:spacing w:lineRule="exact" w:line="600" w:after="0"/>
        <w:ind w:firstLine="0"/>
      </w:pPr>
      <w:r>
        <w:rPr>
          <w:rFonts w:ascii="仿宋_GB2312" w:hAnsi="仿宋_GB2312" w:eastAsia="仿宋_GB2312"/>
          <w:b w:val="0"/>
          <w:sz w:val="32"/>
        </w:rPr>
        <w:t>9. 中国日报网：《【聚焦钢城两会】报告解读丨聚力转型 共绘现代产业发展“新图景”》（2025-01-07）http://ccpd.china.com.cn/2025-01/07/content_43006535.html</w:t>
      </w:r>
    </w:p>
    <w:p>
      <w:pPr>
        <w:spacing w:lineRule="exact" w:line="600" w:after="0"/>
        <w:ind w:firstLine="0"/>
      </w:pPr>
      <w:r>
        <w:rPr>
          <w:rFonts w:ascii="仿宋_GB2312" w:hAnsi="仿宋_GB2312" w:eastAsia="仿宋_GB2312"/>
          <w:b w:val="0"/>
          <w:sz w:val="32"/>
        </w:rPr>
        <w:t>10. 大众日报：《砥砺奋进 逐梦前行》（钢城区精密锻件集群数据）https://dzrb.dzng.com/paper/paperShare/id/831625</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