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山东省济宁市兖州区智能农机装备产业集群发展研究报告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省济宁市兖州区智能农机装备产业集群起步于上世纪五十年代，是山东省三大农机产业集群之一，于2024年入选国家级中小企业特色产业集群。大安镇承载核心产能。这一认定提升兖州地位。产品体系较为完整。六十年积累形成影响。这一判断基于兖州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集群历经六十余年发展，从传统农机制造成长为集动力机械、耕整地、种植施肥、收获机械等于一体的智能农机装备高地，产业基础深厚。大安镇承载核心产能。这一认定提升兖州地位。产品体系较为完整。六十年积累形成影响。这一判断基于兖州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据公开信息，集群集聚山拖农机、联诚集团、金大丰机械等上下游配套企业一百四十余家，全区农机企业已发展到七十余家，是兖州特色优势产业。大安镇承载核心产能。这一认定提升兖州地位。产品体系较为完整。六十年积累形成影响。这一判断基于兖州区公开产业信息与集群发展实际。上述情况反映了集群所处的发展阶段与区域特征。相关进展在区级公开报道中有据可查。</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产品涵盖农用收获机械、农用工程机械、经济作物机械等十大类、五百余个品种，耕整种植机械产能居全省第一、全国前三。产业规模居全省前列。从业人员规模较大。规上企业支撑有力。全国份额领先。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玉米收获机全国市场占有率排名前三，拖拉机产能全国排名前四，二百多种农机产品进入国家或省农机购置补贴目录，规模与品类优势突出。产业规模居全省前列。从业人员规模较大。规上企业支撑有力。全国份额领先。这一判断基于兖州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以大安镇为核心区，集聚金大丰、国丰、爱科等二十余家农机生产企业，镇域农机产业年产值规模可观，对全区工业支撑作用明显。产业规模居全省前列。从业人员规模较大。规上企业支撑有力。全国份额领先。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智能农机装备，涵盖拖拉机、收获机、耕整种植机械、农机零部件等，产品体系较为完整，下游服务粮食生产全程机械化。产品覆盖主要品类。下游服务粮机化。智能化是升级主线。龙头带动配套。这一判断基于兖州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龙头企业金大丰、国丰、五征山拖、联诚精密等在各细分领域具有引领地位，既能提供整机，也能供应关键零部件，产业链协同度高。产品覆盖主要品类。下游服务粮机化。智能化是升级主线。龙头带动配套。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随着智能控制与北斗导航应用，节能高效智能农机成为产品升级主线，主导产业在区域制造业中占比与影响力持续提升。产品覆盖主要品类。下游服务粮机化。智能化是升级主线。龙头带动配套。这一判断基于兖州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具备从动力机械、底盘到耕整、种植、收获及零部件较为完整的链条，上游为发动机、传动与电控，中游为整机，下游为销售与运维服务。配套体系较完整。核心部件短板仍存。链主带动效应显现。本地配套率较高。这一判断基于兖州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链条各环节在区内均有布局，本地配套率较高，龙头企业带动中小微企业协同发展。短板在于高端液压、智能控制等核心部件仍部分依赖外部。配套体系较完整。核心部件短板仍存。链主带动效应显现。本地配套率较高。这一判断基于兖州区公开产业信息与集群发展实际。上述情况反映了集群所处的发展阶段与区域特征。相关进展在区级公开报道中有据可查。</w:t>
      </w:r>
    </w:p>
    <w:p>
      <w:pPr>
        <w:spacing w:lineRule="exact" w:line="600" w:after="0"/>
        <w:ind w:firstLine="420"/>
      </w:pPr>
      <w:r>
        <w:rPr>
          <w:rFonts w:ascii="仿宋_GB2312" w:hAnsi="仿宋_GB2312" w:eastAsia="仿宋_GB2312"/>
          <w:b w:val="0"/>
          <w:sz w:val="32"/>
        </w:rPr>
        <w:t>产业生态以整机企业为牵引，配套企业环绕，整体产业链完整度在县级农机集群中处于较高水平，链主企业统筹配置作用明显。配套体系较完整。核心部件短板仍存。链主带动效应显现。本地配套率较高。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高端液压件、智能控制器与核心软件仍部分依赖外部，制约了整机附加值与智能化水平提升，自主创新能力有待加强。同质化需标准规范。自主可控是补链目标。工艺能力短板待补。低端重复需控。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中小企业多处于零部件配套环节，产品同质化与低端竞争并存，品牌与渠道溢价不足。研发设计与系统集成能力不均衡。同质化需标准规范。自主可控是补链目标。工艺能力短板待补。低端重复需控。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重点关注核心部件自主化，通过产学研合作补齐工艺短板，减少低端重复建设，推动产业链向高附加值环节攀升。同质化需标准规范。自主可控是补链目标。工艺能力短板待补。低端重复需控。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以制造环节为主，处于全球价值链中低端向中高端攀升阶段，智能收获与高端拖拉机环节附加值逐步提升。价值捕获能力增强。高端化成新趋势。向方案商转型前景广。制造环节是主体。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通过智能控制与数字化改造，价值链向高效智能整机、关键零部件延伸，价值捕获能力稳步增强。价值捕获能力增强。高端化成新趋势。向方案商转型前景广。制造环节是主体。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从价值链看，兖州正由设备供应商向智能农机系统方案提供商转型，研发与品牌环节的强化将提升全链条价值捕获能力。价值捕获能力增强。高端化成新趋势。向方案商转型前景广。制造环节是主体。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龙头企业专注整机、核心部件与品牌渠道，中小微企业专注零部件配套与代工，形成龙头引领、专业配套的分工格局。专业化降交易成本。链主统筹配置产能。空间集聚红利释放。龙头配套格局稳。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链主企业发挥技术与资质优势，整合区域产能；中小微企业围绕龙头形成专业化的零部件供应网络，降低了重复投资与恶性竞争。专业化降交易成本。链主统筹配置产能。空间集聚红利释放。龙头配套格局稳。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分工体系依托红色农机产业链党委引导，编制配套名录，推动结构优化。专业化分工使集群在成本与交付效率上保持较强竞争力。专业化降交易成本。链主统筹配置产能。空间集聚红利释放。龙头配套格局稳。这一判断基于兖州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集聚上下游配套企业一百四十余家，其中全区农机企业七十余家，规模以上企业支撑有力，呈现龙头突出、中小配套的特征。优质梯队逐步形成。规上支撑作用明显。中小企业转型空间大。企业数量多而散。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金大丰、国丰等骨干企业规模较大，在行业中具有引领作用。通过智能化改造与专精特新培育，产业集中度与质量近年明显提升。优质梯队逐步形成。规上支撑作用明显。中小企业转型空间大。企业数量多而散。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中小企业向专精特新方向转型，是未来提升整体规模结构、增强产业抗风险能力的关键着力点，优质企业梯队逐步形成。优质梯队逐步形成。规上支撑作用明显。中小企业转型空间大。企业数量多而散。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经济和混合所有制企业为主体，产权清晰、机制灵活，市场化程度高，能够快速响应市场需求变化。民营机制灵活。混改稳步推进。治理现代化提升。本土企业为主力。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龙头企业多为本土成长起来的企业，如金大丰、国丰等，通过品牌、资质与认证优势整合区域产能。外资企业占比较少。民营机制灵活。混改稳步推进。治理现代化提升。本土企业为主力。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部分龙头企业在股份制改造与规范化治理方面稳步推进，为对接资本市场和扩大再生产奠定基础，整体产权结构适配发展阶段。民营机制灵活。混改稳步推进。治理现代化提升。本土企业为主力。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金大丰机械、国丰机械、五征山拖、联诚精密等为集群龙头企业，在收获机、拖拉机与零部件领域各具优势，品牌与技术引领突出。头部发挥压舱石作用。智能产品领先。品牌技术引领突出。链主整合产能。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金大丰研发四百四十马力重型拖拉机，集成北斗定位、大数据与无级变速；国丰获农业农村部全国农牧渔业丰收奖及省首台套认定。头部发挥压舱石作用。智能产品领先。品牌技术引领突出。链主整合产能。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头部企业普遍加大研发投入与智能化改造，建设智能工厂与数字化车间，在品牌、技术与市场上发挥压舱石作用，带动集群迈向中高端。头部发挥压舱石作用。智能产品领先。品牌技术引领突出。链主整合产能。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高度集聚于兖州经开区与大安镇，形成连片产业基地，地理邻近显著降低配套与物流成本，促进技术外溢与管理经验扩散。集聚质量显著提升。产城融合加快。生态协同增强。地理邻近降本。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以园区为载体，分级分类培育，推动结构优化。红色农机产业链党委搭建协同平台，产业集聚质量显著提升。产城融合加快。生态协同增强。地理邻近降本。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集聚区配套完善，形成原料采购、生产制造、检测认证、物流配送一体化的产业生态，增强区域整体竞争力与协同效率。集聚质量显著提升。产城融合加快。生态协同增强。地理邻近降本。这一判断基于兖州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经费投入持续增长，龙头企业研发投入强度较高，规上企业普遍设立研发部门，研发投入占营收比重稳步提升。研发强度逐年提高。产学研合作深入。人才支撑夯实。规上普遍设研发部。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兖州区联合山东省农科院共建山东省第一个智慧农机产业研究院，设立六大研发中心，攻关智能装备与关键核心技术。研发强度逐年提高。产学研合作深入。人才支撑夯实。规上普遍设研发部。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企业创新意识增强，研发投入成为提升产品智能水平与作业效率的主要支撑，产学研合作深入推进，人才支撑逐步夯实。研发强度逐年提高。产学研合作深入。人才支撑夯实。规上普遍设研发部。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拥有国家专精特新小巨人企业五家、省级专精特新中小企业二十四家、省级瞪羚企业三家、省级制造业单项冠军三家，优质企业群体壮大。智能成果突出。首台套成效显。优质企业数增长。专利成果丰硕。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玉米、小麦智能低损通用型联合收获机及玉米大豆密植分控气吸式免耕施肥播种机入选省首台套指导目录，创新产出突出。智能成果突出。首台套成效显。优质企业数增长。专利成果丰硕。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集群累计取得大量专利与科技成果，驰名商标一个、著名商标五个、山东名牌四个，标准制定与质量提升成效显著。智能成果突出。首台套成效显。优质企业数增长。专利成果丰硕。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建设智慧农机产业研究院与六大研发中心，龙头企业牵头建设企业技术中心，为共性技术攻关提供支撑，平台开放共享水平提升。平台开放共享。共性攻关加速。服务中小企增强。研究院已落地。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金大丰、国丰等建设国家级博士后科研工作站与省级创新平台，向中小企业开放检测、中试等公共服务，降低研发门槛。平台开放共享。共性攻关加速。服务中小企增强。研究院已落地。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依托产业研究院与协同创新网络，促进技术、人才与设备共享，提升区域整体创新效率，服务中小企业能力持续增强。平台开放共享。共性攻关加速。服务中小企增强。研究院已落地。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通过产学研合作，智能低损收获机、免耕播种机等成果加快产业化，转化为现实生产力，中试载体提升转化效率。成果转化提效。数字化赋能明显。市场导向机制健全。中试载体有效。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集群拥有智能工厂六个、数字化车间四个、智能制造场景七个，八家企业全面实施智能化改造，数字化赋能明显。成果转化提效。市场导向机制健全。中试载体有效。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技术转化以市场为导向，龙头企业示范带动中小企业应用新技术新工艺，推动产品向高效、智能、绿色方向升级。成果转化提效。数字化赋能明显。市场导向机制健全。中试载体有效。这一判断基于兖州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从业人员规模较大，涵盖机械加工、装配、电气、质检等多工种技能工人，本地职业教育为产业输送技能人才。技能供给总体稳定。高端人才仍不足。培训体系完善。多工种配套。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通过引进高层次人才与校企联合培养，弥补研发与设计短板。龙头企业与高校联合培养工程人才，缓解关键技术岗位供需矛盾。技能供给总体稳定。高端人才仍不足。培训体系完善。多工种配套。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重点关注高端研发与系统集成人才短缺问题，进一步完善人才引育留用机制，提升劳动者技能结构与产业高端化需求匹配度。技能供给总体稳定。高端人才仍不足。培训体系完善。多工种配套。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金融机构加大对农机装备产业信贷支持，兖州区设立产业引导与技改奖补资金，支持企业技术改造与智能化升级，企业自筹资金仍占主导。金融支持加大。龙头资本雄厚。融资渠道待拓宽。奖补撬动明显。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龙头企业资本实力较强，带动配套投资。直接融资比例偏低，需拓展股权融资、供应链金融等渠道，缓解中小企业融资难。金融支持加大。龙头资本雄厚。融资渠道待拓宽。奖补撬动明显。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产业基金与政策奖补的精准投放，对优质企业梯度培育作用明显，资本要素支撑高质量发展的能力逐步增强。金融支持加大。龙头资本雄厚。融资渠道待拓宽。奖补撬动明显。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产业园区土地资源集约利用，通过优化布局保障优质项目落地空间，提升单位土地产出效益，集约用地成效明显。集约用地见效。能耗强度下降。绿色发展导向清。单位产出提升。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依托精益制造与绿色工厂，单位产值能耗持续下降，绿色制造成为发展方向，能耗双控压力总体可控，能耗强度持续下降。集约用地见效。能耗强度下降。绿色发展导向清。单位产出提升。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集群推进清洁生产与节能设备应用，园区产城融合水平提升，土地与能耗要素支撑产业向中高端迈进的能力增强。集约用地见效。能耗强度下降。绿色发展导向清。单位产出提升。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主要原材料为钢材、发动机、传动与电控元件，部分依赖外部采购，本地不产大宗原料，物流与供应稳定性受到关注，依赖外部配套。供应链韧性需增。集采模式成熟。价格波动风险存。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区域物流与集采模式改善稳定了原材料渠道，产业链协同降低备货成本，供应链韧性增强。供应链韧性需增。集采模式成熟。价格波动风险存。依赖外部配套。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集群通过协同供应降低供应链风险，但原材料价格大幅波动仍会挤压利润，需加强供应链韧性与库存管理。供应链韧性需增。集采模式成熟。价格波动风险存。依赖外部配套。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产品行销全国，耕整种植机械、玉米收获机与拖拉机在国内市场占有重要份额，二百多种产品进入国家与省补贴目录。内需空间广阔。新需求带动增长。平台赋能接单。行销全国市场。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国内粮食安全与高标准农田建设带动智能农机需求增长，为集群扩大国内市场份额提供持续动力，内需空间广阔。新需求带动增长。平台赋能接单。行销全国市场。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依托产业协同与配套名录，集群实现供需高效匹配，提升了国内市场的响应速度与服务能力，平台赋能接单效率。内需空间广阔。新需求带动增长。平台赋能接单。行销全国市场。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部分整机与零部件出口海外市场，据不完全统计出口规模呈稳定增长态势，面向一带一路及新兴市场，海外布局逐步完善。出海步伐加快。海外布局完善。贸易壁垒需应对。出口稳步增长。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兖州组织企业参加国际性农机展会，提升产业集群国内外知名度，贸易壁垒需积极应对。出海步伐加快。海外布局完善。贸易壁垒需应对。出口稳步增长。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国际经贸平台助力企业开拓海外市场，但需应对认证差异，增强全球市场抗风险水平与品牌能见度。出海步伐加快。海外布局完善。贸易壁垒需应对。出口稳步增长。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兖州农机区域品牌依托金大丰、国丰等龙头与驰名商标逐步树立，自主品牌培育加强，行业话语权提升。区域品牌树立。自主品牌培育强。影响力仍有差距。驰名商标突出。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集群拥有驰名商标一个、著名商标五个、山东名牌四个，品牌影响力在行业内稳步提升，但仍需持续强化。区域品牌树立。自主品牌培育强。影响力仍有差距。驰名商标突出。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品牌影响力较先进地区仍有差距，需持续强化区域公用品牌推广，推动中小企业从贴牌代工向自主品牌与标准输出转变。区域品牌树立。自主品牌培育强。影响力仍有差距。驰名商标突出。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智慧农业与全程机械化新需求增长，带动智能、高效、低损农机需求，客户对自动化与数据化要求显著提高，需求结构升级。定制化趋势明显。单产提升潜力大。智能绿色演进。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定制化与成套解决方案需求上升，倒逼企业提升设计能力与交付水平。粮食单产提升行动提供新增长空间。需求结构升级。定制化趋势明显。单产提升潜力大。智能绿色演进。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需求端向高效、智能、绿色演进，推动产品结构由单一设备向智能系统整体解决方案升级，对企业技术储备提出更高要求。需求结构升级。定制化趋势明显。单产提升潜力大。智能绿色演进。这一判断基于兖州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兖州与省内外农机集群同台竞争，在收获机与拖拉机领域具备较强竞争力，但高端产品与品牌仍面临先进地区压力。竞争格局分化。成本优势突出。差异化是关键。与先进地区同台。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国内农机产能充裕，价格竞争激烈。兖州凭借完整链条、龙头优势与技术积累，在细分市场保持较强竞争力，成本优势突出。竞争格局分化。差异化是关键。与先进地区同台。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需以差异化与品质提升应对竞争，强化区域品牌与专精特新发展，避免在低端环节陷入同质化价格战，差异化是关键。竞争格局分化。成本优势突出。与先进地区同台。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中小企业同质化竞争明显，产品附加值偏低，部分企业以粗加工和价格竞争为主，品牌建设滞后，低水平重复有待破解。低水平重复待解。品牌短板明显。数字化待提升。同质化竞争突出。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高端部件与智能软件依赖外购，研发设计与系统集成能力不均衡，人才结构性短缺，部分企业管理与数字化水平有待提升。低水平重复待解。品牌短板明显。数字化待提升。同质化竞争突出。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通过数字赋能与标准提升，解决内部低水平重复问题，引导企业向专精特新与高质量发展转型，提升整体质效。低水平重复待解。品牌短板明显。数字化待提升。同质化竞争突出。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农业投资与补贴政策波动会影响农机需求，宏观需求变化对集群订单稳定性构成挑战，需关注下游行业周期，周期波动需警惕。原料价格敏感。外部环境不确定。贸易壁垒存挑战。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钢材等原材料价格大幅波动会挤压企业利润空间，出口面临贸易壁垒与汇率风险，外部环境不确定性上升，原料价格敏感。周期波动需警惕。外部环境不确定。贸易壁垒存挑战。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重点关注产业政策、环保标准与国际贸易环境变化，增强供应链韧性，推动市场与产品多元化以分散外部风险。周期波动需警惕。原料价格敏感。外部环境不确定。贸易壁垒存挑战。这一判断基于兖州区公开产业信息与集群发展实际。上述情况反映了集群所处的发展阶段与区域特征。相关进展在区级公开报道中有据可查。集群的后续演进值得持续跟踪观察。</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中小企业特色产业集群政策与山东省特色产业集群培育政策为兖州农机指明方向，2024年入选国家级集群获政策与资源倾斜。政策红利释放。导向清晰明确。形成上下合力。链式发展强调。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绿色低碳与智能制造导向明确，鼓励产业集群提升创新能力和产业链协同水平，为兖州申报与建设国家级集群提供政策依据。政策红利释放。导向清晰明确。形成上下合力。链式发展强调。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顶层政策强调链式发展与数字化转型，引导集群补短板锻长板，与兖州产业升级路径高度契合，形成上下联动的政策合力。政策红利释放。导向清晰明确。形成上下合力。链式发展强调。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兖州区将智能农机装备作为制造强区重要发力点，设立产业基金，推进技改与数字化改造，精准服务见效。基金撬动明显。营商环境优化。培育提升质量。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通过红色农机产业链党委与企业家恳谈日，支持企业认证申请、技术升级与人才引进，产业培育质效提升，基金撬动作用明显。精准服务见效。基金撬动明显。营商环境优化。培育提升质量。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成立专项工作机制，编制产业投资导向目录，优化营商环境，形成政府引导、市场主导的良性推进机制，营商环境持续优化。精准服务见效。基金撬动明显。营商环境优化。培育提升质量。这一判断基于兖州区公开产业信息与集群发展实际。上述情况反映了集群所处的发展阶段与区域特征。相关进展在区级公开报道中有据可查。集群的后续演进值得持续跟踪观察。</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兖州建设专业园区、检测平台与物流设施，依托兖州国际陆港提升外运能力，园区承载力较强。园区承载力强。数字平台赋能。服务体系健全。陆港提效能。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智慧农机产业研究院与公共服务平台提供研发、检测与中试支撑，数字平台赋能明显，服务体系逐步健全。园区承载力强。数字平台赋能。服务体系健全。陆港提效能。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检测认证、中试与人才培训等公共配套逐步健全，降低了中小企业创新创业成本，优化了集群发展的基础环境。园区承载力强。数字平台赋能。服务体系健全。陆港提效能。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标准制定、展会组织与协同创新方面发挥重要作用，促进行业自律与协同发展，行业自律加强。标准引领显著。抱团发展有力。协会架桥纽带。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农机农艺农资融合产业联盟推动玉米单产提升技术协同，增强行业规范化水平与产品质量一致性，标准引领作用显著。行业自律加强。标准引领显著。抱团发展有力。协会架桥纽带。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政企协共建创新生态，协会在品牌推广与企业交流中架起桥梁，减少恶性竞争、增强集群凝聚力，抱团发展有力。行业自律加强。标准引领显著。协会架桥纽带。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对兖州工业总产值贡献突出，规模以上农机企业支撑有力，是区域制造强区建设的核心引擎，支柱地位稳固。财政贡献突出。链式协同高效。贡献显著。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龙头企业带动上下游产值增长，链式协同提升整体经济效率。入选国家级集群后，政策与资源导入进一步放大经济效应。支柱地位稳固。财政贡献突出。链式协同高效。贡献显著。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智能农机装备产业对县域生产总值的贡献显著，财政支撑作用明显，链式协同高效，带动相关制造业发展。支柱地位稳固。财政贡献突出。链式协同高效。贡献显著。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从业人员规模较大，吸纳本地及外来劳动力，技能岗位稳定，带动城镇就业与居民增收，社会效益明显，吸纳就业能力强。吸纳就业强。技能岗位活跃。技能提升明显。带动相关服务。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技改与智能工厂建设创造高质量技能岗位，产教融合与技能培训提升劳动者素质，配套服务就业活跃。吸纳就业强。技能岗位活跃。技能提升明显。带动相关服务。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产业发展带动相关服务业就业，形成产业与人才良性互动的就业吸纳格局，技能提升明显，促进社会稳定。吸纳就业强。技能岗位活跃。技能提升明显。带动相关服务。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带动钢铁、物流、商贸服务等关联产业发展，技术外溢提升区域制造水平，促进配套体系完善与城镇繁荣，关联带动显著。城镇繁荣提速。数字外溢明显。带动关联产业。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兖州因产业集群实现产城融合，基础设施与公共服务显著改善，形成以产业集聚带动区域全面发展的溢出效应。关联带动显著。城镇繁荣提速。数字外溢明显。带动关联产业。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智慧农机研究院等新模式外溢至其他产业，为县域数字化转型提供经验，增强区域经济发展的整体韧性。关联带动显著。城镇繁荣提速。数字外溢明显。带动关联产业。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产业集群提升兖州在全国的知名度，促进公共服务改善与城市功能提升，增强居民获得感与归属感，知名度提升明显。知名度提升。生态环境改善。民生投入增加。环保意识增强。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绿色低碳与质量提升行动推动企业树牢环保意识，绿色发展改善生态环境质量，社会效益持续显现，生态环境改善。知名度提升。民生投入增加。环保意识增强。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产业高质量发展带动教育、医疗等民生投入，形成经济发展与社会进步良性循环的县域治理新格局，民生投入增加。知名度提升。生态环境改善。环保意识增强。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兖州智能农机装备集群已实现从规模扩张到品质提升的关键跨越，但高端部件依赖、同质化竞争等问题仍需系统破解。跨越成效明显。短板仍需补齐。系统施策关键。高端化待突破。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品牌影响力较先进地区偏弱，研发设计与智能软件能力不均衡，人才结构性短缺制约高端化步伐，需持续补齐短板。跨越成效明显。短板仍需补齐。系统施策关键。高端化待突破。这一判断基于兖州区公开产业信息与集群发展实际。上述情况反映了集群所处的发展阶段与区域特征。相关进展在区级公开报道中有据可查。集群的后续演进值得持续跟踪观察。</w:t>
      </w:r>
    </w:p>
    <w:p>
      <w:pPr>
        <w:spacing w:lineRule="exact" w:line="600" w:after="0"/>
        <w:ind w:firstLine="420"/>
      </w:pPr>
      <w:r>
        <w:rPr>
          <w:rFonts w:ascii="仿宋_GB2312" w:hAnsi="仿宋_GB2312" w:eastAsia="仿宋_GB2312"/>
          <w:b w:val="0"/>
          <w:sz w:val="32"/>
        </w:rPr>
        <w:t>需重点关注产业链核心环节自主化与价值链攀升，以创新驱动和品牌建设巩固国家级集群的引领示范作用，系统施策关键。跨越成效明显。短板仍需补齐。高端化待突破。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高端液压、智能控制与核心软件短板，强化整机集成能力，延伸运维服务与智能解决方案，短板环节明确。场景持续拓展。生态加快构建。强化整机集成。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拓展经济作物机械、设施农业装备等新应用场景，丰富产品系列与应用边界，推进全程机械化成套装备。短板环节明确。场景持续拓展。生态加快构建。强化整机集成。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依托链主延链补链，引导中小企业向高附加值环节集中，构建从部件到整机、从产品到服务的完整产业生态。短板环节明确。场景持续拓展。生态加快构建。强化整机集成。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培育龙头与专精特新企业，支持中小企业向专精特新、单项冠军方向发展，完善优质企业梯度培育体系，梯度培育关键。扩容提质提效。联合体带动强。专精特新导向。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推动中小企业扩容提质，将其纳入标准化生产网络，提升制造水平与质量一致性，共享扩容提效。梯度培育关键。扩容提质提效。联合体带动强。专精特新导向。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鼓励链主牵头组建创新联合体，带动配套企业协同升级，形成大中小企业融通发展的企业培育新格局，联合体带动强。梯度培育关键。扩容提质提效。专精特新导向。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深化与山东省农科院等高校产学研合作，建设共性技术研发平台，攻关智能控制与高效收获关键技术，产学研需深化。数智化要加速。机制待完善。攻关关键技术。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提升数字化与智能制造水平，扩大智能工厂应用，以产业研究院驱动研发、生产与服务的全链条协同创新，数智化要加速。产学研需深化。机制待完善。攻关关键技术。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完善创新激励机制，支持企业建设研发机构，推动科技成果转化与首台套应用，持续增强集群创新内生动力。产学研需深化。数智化要加速。机制待完善。攻关关键技术。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加强人才引育，完善职业教育与产教融合，引进高端研发与智能装备人才，缓解结构性短缺矛盾，人才是根本。金融需创新。要素保重点。集约保障用地。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创新金融服务，发展供应链金融与产业基金，缓解中小企业融资难，保障技改与智能化升级资金需求，金融需创新。人才是根本。要素保重点。集约保障用地。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集约节约用地，保障能耗与环境容量指标，优先支持高效低耗项目，提升要素对高质量发展的保障能力，要素保重点。人才是根本。金融需创新。集约保障用地。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区域公用品牌推广，支持企业抱团出海，组织国际精准对接，提升兖州农机全球市场能见度，品牌要出海。平台需运营好。协同促长效。巩固集群成果。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优化产业基金使用与公共服务平台运营，完善标准、检测、认证一体化服务，营造公平竞争的市场环境，平台需运营好。品牌要出海。协同促长效。巩固集群成果。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健全产业链协同政策，统筹招商、创新与要素配置，巩固国家级集群建设成果，打造北方智能农机产业标杆。品牌要出海。平台需运营好。协同促长效。巩固集群成果。这一判断基于兖州区公开产业信息与集群发展实际。上述情况反映了集群所处的发展阶段与区域特征。相关进展在区级公开报道中有据可查。集群的后续演进值得持续跟踪观察。总体看该判断与公开产业数据相吻合。</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大安镇：聚焦科技领域改革创新 打造经济高质量发展新高地（兖州区政府网）http://yanzhou.gov.cn/art/2024/5/7/art_27840_2778012.html</w:t>
      </w:r>
    </w:p>
    <w:p>
      <w:pPr>
        <w:spacing w:lineRule="exact" w:line="600" w:after="0"/>
        <w:ind w:firstLine="0"/>
      </w:pPr>
      <w:r>
        <w:rPr>
          <w:rFonts w:ascii="仿宋_GB2312" w:hAnsi="仿宋_GB2312" w:eastAsia="仿宋_GB2312"/>
          <w:b w:val="0"/>
          <w:sz w:val="32"/>
        </w:rPr>
        <w:t>2. 兖州区农业农村局关于对区十九届人大四次会议第34号建议的答复（兖州区政府网）http://yanzhou.gov.cn/art/2025/10/21/art_29180_2792077.html</w:t>
      </w:r>
    </w:p>
    <w:p>
      <w:pPr>
        <w:spacing w:lineRule="exact" w:line="600" w:after="0"/>
        <w:ind w:firstLine="0"/>
      </w:pPr>
      <w:r>
        <w:rPr>
          <w:rFonts w:ascii="仿宋_GB2312" w:hAnsi="仿宋_GB2312" w:eastAsia="仿宋_GB2312"/>
          <w:b w:val="0"/>
          <w:sz w:val="32"/>
        </w:rPr>
        <w:t>3. 山东兖州："慧"出农机装备产业新图景（经济日报）https://rss.jingjiribao.cn/static/detail.jsp?id=544375</w:t>
      </w:r>
    </w:p>
    <w:p>
      <w:pPr>
        <w:spacing w:lineRule="exact" w:line="600" w:after="0"/>
        <w:ind w:firstLine="0"/>
      </w:pPr>
      <w:r>
        <w:rPr>
          <w:rFonts w:ascii="仿宋_GB2312" w:hAnsi="仿宋_GB2312" w:eastAsia="仿宋_GB2312"/>
          <w:b w:val="0"/>
          <w:sz w:val="32"/>
        </w:rPr>
        <w:t>4. 兖州区农业农村局关于对区十九届人大代表三次会议第29号议案的答复（兖州区政府网）http://www.yanzhou.gov.cn/art/2024/10/24/art_29180_2783374.html</w:t>
      </w:r>
    </w:p>
    <w:p>
      <w:pPr>
        <w:spacing w:lineRule="exact" w:line="600" w:after="0"/>
        <w:ind w:firstLine="0"/>
      </w:pPr>
      <w:r>
        <w:rPr>
          <w:rFonts w:ascii="仿宋_GB2312" w:hAnsi="仿宋_GB2312" w:eastAsia="仿宋_GB2312"/>
          <w:b w:val="0"/>
          <w:sz w:val="32"/>
        </w:rPr>
        <w:t>5. 济宁市工业和信息化局对市政协十四届三次会议第1430230号提案的答复（济宁市政府网）https://www.jining.gov.cn/art/2024/9/2/art_107141_6318.html</w:t>
      </w:r>
    </w:p>
    <w:p>
      <w:pPr>
        <w:spacing w:lineRule="exact" w:line="600" w:after="0"/>
        <w:ind w:firstLine="0"/>
      </w:pPr>
      <w:r>
        <w:rPr>
          <w:rFonts w:ascii="仿宋_GB2312" w:hAnsi="仿宋_GB2312" w:eastAsia="仿宋_GB2312"/>
          <w:b w:val="0"/>
          <w:sz w:val="32"/>
        </w:rPr>
        <w:t>6. 山东省工业和信息化厅 中小企业特色产业集群专栏 http://gxt.shandong.gov.cn/</w:t>
      </w:r>
    </w:p>
    <w:p>
      <w:pPr>
        <w:spacing w:lineRule="exact" w:line="600" w:after="0"/>
        <w:ind w:firstLine="0"/>
      </w:pPr>
      <w:r>
        <w:rPr>
          <w:rFonts w:ascii="仿宋_GB2312" w:hAnsi="仿宋_GB2312" w:eastAsia="仿宋_GB2312"/>
          <w:b w:val="0"/>
          <w:sz w:val="32"/>
        </w:rPr>
        <w:t>7. 济宁市人民政府 产业经济频道 http://www.jining.gov.cn/</w:t>
      </w:r>
    </w:p>
    <w:p>
      <w:pPr>
        <w:spacing w:lineRule="exact" w:line="600" w:after="0"/>
        <w:ind w:firstLine="0"/>
      </w:pPr>
      <w:r>
        <w:rPr>
          <w:rFonts w:ascii="仿宋_GB2312" w:hAnsi="仿宋_GB2312" w:eastAsia="仿宋_GB2312"/>
          <w:b w:val="0"/>
          <w:sz w:val="32"/>
        </w:rPr>
        <w:t>8. 兖州区人民政府官网 http://www.yanzhou.gov.cn/</w:t>
      </w:r>
    </w:p>
    <w:p>
      <w:pPr>
        <w:spacing w:lineRule="exact" w:line="600" w:after="0"/>
        <w:ind w:firstLine="0"/>
      </w:pPr>
      <w:r>
        <w:rPr>
          <w:rFonts w:ascii="仿宋_GB2312" w:hAnsi="仿宋_GB2312" w:eastAsia="仿宋_GB2312"/>
          <w:b w:val="0"/>
          <w:sz w:val="32"/>
        </w:rPr>
        <w:t>9. 大众网 兖州农机产业报道 http://www.dzwww.com/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