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山东省烟台市福山区新能源商用车零部件产业集群发展研究报告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烟台市福山区新能源商用车零部件产业集群位于烟台市福山区，依托传统汽车零部件产业基础转型升级，于2024年入选国家级中小企业特色产业集群。新能源园承载核心产能。这一认定提升福山地位。产品系列较为完整。产业根基深厚。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集群以新能源商用车动力电池、电机、电控、电驱总成及核心零部件为方向，高标准规划建设八点六平方公里新能源汽车产业园，是烟台汽车产业链领建园区。新能源园承载核心产能。这一认定提升福山地位。产品系列较为完整。产业根基深厚。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福山区已有汽车零部件企业三百一十四家，培育转向机、车灯、汽车内饰等六大产品系列、二百二十余种产品，产业根基深厚。这一认定标志福山迈入国家级新能源零部件阵营。新能源园承载核心产能。这一认定提升福山地位。产品系列较为完整。这一判断基于福山区公开产业信息与集群发展实际。上述情况反映了集群所处的发展阶段与区域特征。相关进展在区级公开报道中有据可查。</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2024年福山区汽车产业产值二百六十九点九亿元，占全区工业比重约四成六；2025年汽车部件产值三百零七亿元、同比增长一成四，装备产业二百一十三点七亿元。产业规模居前列。从业人员规模较大。规上企业支撑有力。投资规模庞大。这一判断基于福山区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集群拥有世界五百强项目四十余个，八点六平方公里新能源汽车产业园集聚动力与储能电池、核心部件、测试认证等重点项目，总投资规模庞大。产业规模居前列。从业人员规模较大。规上企业支撑有力。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潍柴弗迪新能源动力产业园总投资五百六十亿元，是烟台十一五以来市外投资最大的装备制造业单体项目，达产后将形成千亿级产业规模。产业规模居前列。从业人员规模较大。规上企业支撑有力。投资规模庞大。这一判断基于福山区公开产业信息与集群发展实际。上述情况反映了集群所处的发展阶段与区域特征。相关进展在区级公开报道中有据可查。</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新能源商用车零部件，涵盖动力电池、扁线电机、电控、电驱总成及座椅、车灯、内饰、冲压件等，产品体系较为完整。产品覆盖主要品类。下游配套整车。三电是升级主线。龙头带动配套。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潍柴弗迪项目引入刀片电池技术，打造全球最大的商用车专用电池生产基地之一，延锋座椅、上汽变速器、三立车灯等配套企业协同集聚。产品覆盖主要品类。下游配套整车。三电是升级主线。龙头带动配套。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随着新能源商用车渗透率提升，三电系统与轻量化部件成为产品升级主线，主导产业在区域制造业中占比与影响力持续提升。产品覆盖主要品类。下游配套整车。三电是升级主线。龙头带动配套。这一判断基于福山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具备从电池、电机、电控等三电核心到座椅、车灯、内饰、冲压件等较为完整的链条，上游为正极负极与零部件，中游为三电总成，下游为整车配套。配套体系较完整。核心材料短板仍存。链主带动效应显现。本地配套率较高。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链条各环节在区内均有布局，本地配套率较高，龙头带动中小微企业协同发展。短板在于部分高端芯片、关键材料仍部分依赖外部。配套体系较完整。核心材料短板仍存。链主带动效应显现。本地配套率较高。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产业生态以园区为载体，配套企业环绕，整体产业链完整度在县级新能源零部件集群中处于较高水平，链主企业统筹配置作用明显。配套体系较完整。核心材料短板仍存。链主带动效应显现。本地配套率较高。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车规级芯片、关键正负极材料与部分核心软件仍部分依赖外部，制约了整机附加值与自主可控水平提升，创新能力有待加强。同质化需标准规范。自主可控是补链目标。工艺能力短板待补。低端重复需控。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中小企业多处于结构件与通用部件环节，产品同质化与低端竞争并存，品牌与渠道溢价不足。研发设计与系统集成能力不均衡。同质化需标准规范。自主可控是补链目标。工艺能力短板待补。低端重复需控。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核心三电与关键材料自主化，通过产学研合作补齐工艺短板，减少低端重复建设，推动产业链向高附加值环节攀升。同质化需标准规范。自主可控是补链目标。工艺能力短板待补。低端重复需控。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以制造环节为主，处于全球价值链中低端向中高端攀升阶段，三电总成与刀片电池环节附加值逐步提升。价值捕获能力增强。高端化成新趋势。向方案商转型前景广。制造环节是主体。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链主引入与数字化改造，价值链向电池、电机、电控、电驱总成延伸，价值捕获能力稳步增强。价值捕获能力增强。高端化成新趋势。向方案商转型前景广。制造环节是主体。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从价值链看，福山正由部件供应商向新能源商用车动力系统方案提供商转型，研发与品牌环节的强化将提升全链条价值捕获能力。价值捕获能力增强。高端化成新趋势。向方案商转型前景广。制造环节是主体。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潍柴弗迪等链主专注三电总成与品牌渠道，中小微企业专注结构件、座椅、车灯等配套，形成龙头引领、专业配套的分工格局。专业化降交易成本。链主统筹配置产能。空间集聚红利释放。龙头配套格局稳。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链主企业发挥技术与资质优势，整合区域产能；中小微企业围绕龙头形成专业化的零部件供应网络，降低了重复投资与恶性竞争。专业化降交易成本。链主统筹配置产能。空间集聚红利释放。龙头配套格局稳。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分工体系依托园区规划与链长制引导，完善一图五库四清单，推动结构优化。专业化分工使集群在成本与交付效率上保持较强竞争力。专业化降交易成本。链主统筹配置产能。空间集聚红利释放。龙头配套格局稳。这一判断基于福山区公开产业信息与集群发展实际。上述情况反映了集群所处的发展阶段与区域特征。相关进展在区级公开报道中有据可查。</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拥有汽车零部件企业三百一十四家，其中世界五百强项目四十余个，规模以上企业支撑有力，呈现龙头突出、中小配套的特征。优质梯队逐步形成。规上支撑作用明显。中小企业转型空间大。企业数量多而散。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潍柴弗迪、延锋、上汽变速器、三立车灯等骨干企业规模较大，在行业中具有引领作用。通过链式招商，产业集中度与质量近年明显提升。优质梯队逐步形成。规上支撑作用明显。中小企业转型空间大。企业数量多而散。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中小企业向专精特新方向转型，是未来提升整体规模结构、增强产业抗风险能力的关键着力点，优质企业梯队逐步形成。优质梯队逐步形成。规上支撑作用明显。中小企业转型空间大。企业数量多而散。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混合所有制、外资与民营中小企业为主体，产权清晰、机制灵活，市场化程度高，能够快速响应市场需求变化。混合所有制为主。外资与民企并存。治理现代化提升。本土骨干为主力。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龙头企业多为世界五百强与本土骨干合资或独资企业，如潍柴动力、比亚迪等，通过品牌、资质与认证优势整合区域产能。混合所有制为主。外资与民企并存。治理现代化提升。本土骨干为主力。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部分龙头企业在股份制改造与规范化治理方面稳步推进，为对接资本市场和扩大再生产奠定基础，整体产权结构适配发展阶段。混合所有制为主。外资与民企并存。治理现代化提升。本土骨干为主力。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潍柴弗迪是集群链主，由潍柴动力与比亚迪联合投资，建设动力电池研发制造基地，具备年产五十吉瓦时电池制造能力，品牌与技术引领突出。头部发挥压舱石作用。三电产品领先。品牌技术引领突出。链主整合产能。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延锋座椅、上汽变速器、中瑞冲压件、名岳模塑、三立车灯、华域视觉、安波福等重点企业在各自细分领域各具优势，形成头部梯队。头部发挥压舱石作用。三电产品领先。品牌技术引领突出。链主整合产能。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头部企业普遍加大研发投入与智能化改造，建设智能工厂与数字化车间，在品牌、技术与市场上发挥压舱石作用，带动集群迈向中高端。头部发挥压舱石作用。三电产品领先。品牌技术引领突出。链主整合产能。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八点六平方公里新能源汽车产业园及西部工业新区，形成连片产业基地，地理邻近显著降低配套与物流成本。集聚质量显著提升。产城融合加快。生态协同增强。地理邻近降本。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以园区为载体，链式招商推动项目集中布局，产业集聚质量显著提升。百余家企业实施数字化转型，协同效率增强。产城融合加快。生态协同增强。地理邻近降本。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聚区配套完善，形成研发、中试、检测、物流一体化的产业生态，增强区域整体竞争力与协同效率，生态协同效应明显。集聚质量显著提升。产城融合加快。生态协同增强。地理邻近降本。这一判断基于福山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经费投入持续增长，龙头企业研发投入强度较高，规上企业普遍设立研发部门，研发投入占营收比重稳步提升。研发强度逐年提高。产学研合作深入。人才支撑夯实。规上普遍设研发部。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福山区联合南京航空航天大学院士团队打造两中心一基地国家级平台，并引入通用咨询共建新能源汽车创新中心，深化产学研合作。研发强度逐年提高。产学研合作深入。人才支撑夯实。规上普遍设研发部。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企业创新意识增强，研发投入成为提升产品性能与智能化的主要支撑，人才支撑逐步夯实，创新内生动力持续增强。研发强度逐年提高。产学研合作深入。人才支撑夯实。规上普遍设研发部。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拥有省级专精特新企业九十七家、高新技术企业一百四十四家，创明电池发布全球领先准固态圆柱电芯，东星磁材高性能永磁材料国际领先。三电成果突出。专精特新群体大。标准制定成效显。专利成果丰硕。这一判断基于福山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潍柴弗迪下线WEB602V160刀片电池包，具备快充、长寿命与高安全特性，创新成果在商用车动力电池方向优势明显。三电成果突出。专精特新群体大。标准制定成效显。专利成果丰硕。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累计取得大量专利与科技成果，首台套与标志性产品不断涌现，标准制定与质量提升成效显著。三电成果突出。专精特新群体大。标准制定成效显。专利成果丰硕。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中质国检打造国家级汽车研发认证公共服务平台，为全国第九家、山东唯一，填补烟台汽车检测机构空白，平台开放共享水平提升。平台开放共享。共性攻关加速。服务中小企增强。国家级平台落地。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南航大两中心一基地包括国家级智能制造技术与装备创新中心、先进复合材料检验检测中心、智能制造装备中试验证基地，共性攻关加速。平台开放共享。服务中小企增强。国家级平台落地。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新能源汽车创新中心与产业大脑，集群构建协同创新网络，促进技术、人才与设备共享，提升区域整体创新效率。平台开放共享。共性攻关加速。服务中小企增强。国家级平台落地。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通过产学研合作，刀片电池、准固态电芯等成果加快产业化，转化为现实生产力，中试载体提升转化效率。成果转化提效。数字化赋能明显。市场导向机制健全。中试载体有效。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推进数字化转型，产业大脑大模型赋能研发与制造，百余家企业实施数字化改造，数字化赋能明显。成果转化提效。市场导向机制健全。中试载体有效。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技术转化以市场为导向，龙头企业示范带动中小企业应用新技术新工艺，推动产品向高效、智能、绿色方向升级。成果转化提效。数字化赋能明显。市场导向机制健全。中试载体有效。这一判断基于福山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规模较大，涵盖电池制造、装配、电气、质检等多工种技能工人，本地职业教育为产业输送技能人才。技能供给总体稳定。高端人才仍不足。培训体系完善。多工种配套。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引进高层次人才与校企联合培养，弥补研发与设计短板。龙头企业与高校联合培养工程人才，缓解关键技术岗位供需矛盾。技能供给总体稳定。高端人才仍不足。培训体系完善。多工种配套。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研发与系统集成人才短缺问题，进一步完善人才引育留用机制，提升劳动者技能结构与产业高端化需求匹配度。技能供给总体稳定。高端人才仍不足。培训体系完善。多工种配套。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金融机构加大对新能源零部件产业信贷支持，福山区设立十亿元新质生产力产业投资基金，支持企业技改与智能化升级。金融支持加大。链主资本雄厚。融资渠道待拓宽。基金撬动明显。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链主企业资本实力雄厚，带动配套投资。直接融资比例偏低，需拓展股权融资、供应链金融等渠道，缓解中小企业融资难。金融支持加大。链主资本雄厚。融资渠道待拓宽。基金撬动明显。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产业基金与政策奖补的精准投放，对优质企业梯度培育作用明显，资本要素支撑高质量发展的能力逐步增强。金融支持加大。链主资本雄厚。融资渠道待拓宽。基金撬动明显。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产业园区土地资源集约利用，八点六平方公里新能源产业园与西部工业新区十九点三平方公里高水平规划，提升单位土地产出效益。集约用地见效。能耗强度下降。绿色发展导向清。单位产出提升。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绿色制造与节能产线，单位产值能耗持续下降，绿色制造成为发展方向，能耗双控压力总体可控，能耗强度持续下降。集约用地见效。能耗强度下降。绿色发展导向清。单位产出提升。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推进清洁生产与节能设备应用，园区产城融合水平提升，土地与能耗要素支撑产业向中高端迈进的能力增强。集约用地见效。能耗强度下降。绿色发展导向清。单位产出提升。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主要原材料为钢材、正极负极材料、电控元件等，部分依赖外部采购，本地不产大宗原料，物流与供应稳定性受到关注，依赖外部配套。供应链韧性需增。集采模式成熟。价格波动风险存。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区域物流与集采模式改善稳定了原材料渠道，链主统筹降低备货成本，供应链韧性增强。供应链韧性需增。集采模式成熟。价格波动风险存。依赖外部配套。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群通过协同供应降低供应链风险，但原材料价格大幅波动仍会挤压利润，需加强供应链韧性与库存管理。供应链韧性需增。集采模式成熟。价格波动风险存。依赖外部配套。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产品配套国内商用车与新能源整车企业，六十余家传统企业切入小米、蔚来、理想等新能源供应链，累计订单二百多亿元。内需空间广阔。新需求带动增长。平台赋能接单。行销全国市场。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内新能源商用车渗透率提升带动三电与轻量化部件需求增长，为集群扩大国内市场份额提供持续动力，内需空间广阔。新需求带动增长。平台赋能接单。行销全国市场。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产业协同与链主订单，集群实现供需高效匹配，提升了国内市场的响应速度与服务能力，平台赋能接单效率。内需空间广阔。新需求带动增长。平台赋能接单。行销全国市场。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部分零部件随整车出口海外市场，据不完全统计出口规模呈稳定增长态势，面向一带一路及新兴市场，海外布局逐步完善。出海步伐加快。海外布局完善。贸易壁垒需应对。出口稳步增长。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福山组织企业参与国际性汽车展会，提升产业集群国内外知名度，贸易壁垒需积极应对。出海步伐加快。海外布局完善。贸易壁垒需应对。出口稳步增长。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国际经贸平台助力企业开拓海外市场，但需应对认证差异，增强全球市场抗风险水平与品牌能见度。出海步伐加快。海外布局完善。贸易壁垒需应对。出口稳步增长。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福山汽车部件区域品牌依托潍柴弗迪等龙头与多年配套积累逐步树立，自主品牌培育加强，行业话语权提升。区域品牌树立。自主品牌培育强。影响力仍有差距。多项荣誉加身。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福山获评国家火炬计划汽车部件产业基地、山东省特色产业集群、国家新能源商用车零部件产业集群，品牌影响力稳步提升。区域品牌树立。自主品牌培育强。影响力仍有差距。多项荣誉加身。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仍有差距，需持续强化区域公用品牌推广，推动中小企业从贴牌代工向自主品牌与标准输出转变。区域品牌树立。自主品牌培育强。影响力仍有差距。多项荣誉加身。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新能源商用车与智能网联新需求增长，带动三电系统、轻量化与智能座舱需求，客户对能效与智能化要求显著提高，需求结构升级。定制化趋势明显。电动化潜力大。智能绿色演进。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定制化与系统集成服务需求上升，倒逼企业提升设计能力与交付水平。商用车电动化提供新增长空间。需求结构升级。定制化趋势明显。电动化潜力大。智能绿色演进。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需求端向高效、低碳、智能演进，推动产品结构由单一部件向动力系统整体解决方案升级，对企业技术储备提出更高要求。需求结构升级。定制化趋势明显。电动化潜力大。智能绿色演进。这一判断基于福山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福山与省内外新能源零部件集群同台竞争，在三电与电池领域具备较强竞争力，但高端产品与品牌仍面临先进地区压力。竞争格局分化。成本优势突出。差异化是关键。与先进地区同台。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内新能源产能充裕，价格竞争激烈。福山凭借链主优势、完整配套与营商环境，在北方市场保持较强竞争力，成本优势突出。竞争格局分化。差异化是关键。与先进地区同台。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以差异化与品质提升应对竞争，强化区域品牌与专精特新发展，避免在低端环节陷入同质化价格战，差异化是关键。竞争格局分化。成本优势突出。与先进地区同台。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中小企业同质化竞争明显，产品附加值偏低，部分企业以结构件和价格竞争为主，品牌建设滞后，低水平重复有待破解。低水平重复待解。品牌短板明显。数字化待提升。同质化竞争突出。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高端芯片与关键材料依赖外购，研发设计与系统集成能力不均衡，人才结构性短缺，部分企业管理与数字化水平有待提升。低水平重复待解。品牌短板明显。数字化待提升。同质化竞争突出。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通过数字赋能与标准提升，解决内部低水平重复问题，引导企业向专精特新与高质量发展转型，提升整体质效。低水平重复待解。品牌短板明显。数字化待提升。同质化竞争突出。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汽车与新能源投资波动会影响零部件需求，宏观需求变化对集群订单稳定性构成挑战，需关注下游行业周期，周期波动需警惕。原料价格敏感。外部环境不确定。贸易壁垒存挑战。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锂、钢等原材料价格大幅波动会挤压企业利润空间，出口面临贸易壁垒与汇率风险，外部环境不确定性上升，原料价格敏感。周期波动需警惕。外部环境不确定。贸易壁垒存挑战。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政策、技术路线与国际贸易环境变化，增强供应链韧性，推动市场与产品多元化以分散外部风险。周期波动需警惕。原料价格敏感。外部环境不确定。贸易壁垒存挑战。这一判断基于福山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中小企业特色产业集群政策与山东省特色产业集群培育政策为福山新能源零部件指明方向，2024年入选国家级集群获政策与资源倾斜。政策红利释放。导向清晰明确。形成上下合力。链式发展强调。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绿色低碳与智能制造导向明确，鼓励产业集群提升创新能力和产业链协同水平，为福山申报与建设国家级集群提供政策依据。政策红利释放。导向清晰明确。形成上下合力。链式发展强调。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顶层政策强调链式发展与数字化转型，引导集群补短板锻长板，与福山产业升级路径高度契合，形成上下联动的政策合力。政策红利释放。导向清晰明确。形成上下合力。链式发展强调。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福山区将新能源商用车零部件作为主导产业重点扶持，设立十亿元新质生产力基金，推进链式招商与数字化改造，精准服务见效。基金撬动明显。营商环境优化。培育提升质量。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项目推进指挥部一线办公，支持企业认证申请、技术升级与人才引进，产业培育质效提升，基金撬动作用明显。精准服务见效。基金撬动明显。营商环境优化。培育提升质量。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成立专项工作机制，编制一图五库四清单，优化营商环境，形成政府引导、市场主导的良性推进机制，营商环境持续优化。精准服务见效。基金撬动明显。营商环境优化。培育提升质量。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福山建设专业园区、检测平台与物流设施，中质国检国家级平台提升检测认证能力，园区承载力较强。园区承载力强。数字平台赋能。服务体系健全。检测平台完善。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大脑大模型与公共服务平台提供研发、检测与中试支撑，数字平台赋能明显，服务体系逐步健全。园区承载力强。数字平台赋能。服务体系健全。检测平台完善。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检测认证、中试与人才培训等公共配套逐步健全，降低了中小企业创新创业成本，优化了集群发展的基础环境。园区承载力强。数字平台赋能。服务体系健全。检测平台完善。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标准制定、展会组织与协同创新方面发挥重要作用，促进行业自律与协同发展，行业自律加强。标准引领显著。抱团发展有力。协会架桥纽带。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协会推动企业联合攻关与标准提升，增强行业规范化水平与产品质量一致性，标准引领作用显著。行业自律加强。标准引领显著。抱团发展有力。协会架桥纽带。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政企协共建创新生态，协会在品牌推广与企业交流中架起桥梁，减少恶性竞争、增强集群凝聚力，抱团发展有力。行业自律加强。标准引领显著。协会架桥纽带。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2025年汽车部件产值三百零七亿元、同比增长一成四，是福山经济支柱，规模以上工业支撑有力，支柱地位稳固。财政贡献突出。链式协同高效。GDP破五百亿。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链主企业与优质企业带动上下游产值增长，链式协同提升整体经济效率。入选国家级集群后，政策与资源导入进一步放大经济效应。支柱地位稳固。财政贡献突出。链式协同高效。GDP破五百亿。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新能源商用车零部件产业对全区生产总值的贡献突出，2025年福山GDP突破五百亿元，财政支撑作用显著，链式协同高效。支柱地位稳固。财政贡献突出。GDP破五百亿。这一判断基于福山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从业人员规模较大，吸纳本地及外来劳动力，技能岗位稳定，带动城镇就业与居民增收，社会效益明显，吸纳就业能力强。吸纳就业强。技能岗位活跃。技能提升明显。带动相关服务。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技改与智能工厂建设创造高质量技能岗位，产教融合与技能培训提升劳动者素质，配套服务就业活跃。吸纳就业强。技能岗位活跃。技能提升明显。带动相关服务。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发展带动相关服务业就业，形成产业与人才良性互动的就业吸纳格局，技能提升明显，促进社会稳定。吸纳就业强。技能岗位活跃。技能提升明显。带动相关服务。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带动钢铁、电子、物流、商贸服务等关联产业发展，技术外溢提升区域制造水平，促进配套体系完善与城镇繁荣，关联带动显著。城镇繁荣提速。数字外溢明显。带动关联产业。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福山因产业集群实现产城融合，基础设施与公共服务显著改善，形成以产业集聚带动区域全面发展的溢出效应。关联带动显著。城镇繁荣提速。数字外溢明显。带动关联产业。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大脑与中试平台等新模式外溢至其他产业，为区域数字化转型提供经验，增强经济发展的整体韧性。关联带动显著。城镇繁荣提速。数字外溢明显。带动关联产业。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业集群提升福山在全国的知名度，促进公共服务改善与城市功能提升，增强居民获得感与归属感，知名度提升明显。知名度提升。生态环境改善。民生投入增加。环保意识增强。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绿色低碳与质量提升行动推动企业树牢环保意识，绿色发展改善生态环境质量，社会效益持续显现，生态环境改善。知名度提升。民生投入增加。环保意识增强。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高质量发展带动教育、医疗等民生投入，形成经济发展与社会进步良性循环的县域治理新格局，民生投入增加。知名度提升。生态环境改善。环保意识增强。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福山新能源商用车零部件集群已实现从传统配套到三电集成的跨越，但高端芯片依赖、同质化竞争等问题仍需系统破解。跨越成效明显。短板仍需补齐。系统施策关键。高端化待突破。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偏弱，研发设计与关键材料能力不均衡，人才结构性短缺制约高端化步伐，需持续补齐短板。跨越成效明显。短板仍需补齐。系统施策关键。高端化待突破。这一判断基于福山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链核心环节自主化与价值链攀升，以创新驱动和品牌建设巩固国家级集群的引领示范作用，系统施策关键。跨越成效明显。短板仍需补齐。高端化待突破。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车规级芯片、关键材料与核心软件短板，强化三电总成能力，延伸运维服务与系统集成，短板环节明确。场景持续拓展。生态加快构建。强化三电集成。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拓展轻量化部件、智能座舱与燃料电池等新应用场景，丰富产品系列与应用边界，推进商用车全面电动化。短板环节明确。场景持续拓展。生态加快构建。强化三电集成。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链主延链补链，引导中小企业向高附加值环节集中，构建从材料到三电、从产品到服务的完整产业生态。短板环节明确。场景持续拓展。生态加快构建。强化三电集成。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培育龙头与专精特新企业，支持中小企业向专精特新、单项冠军方向发展，完善优质企业梯度培育体系，梯度培育关键。扩容提质提效。联合体带动强。专精特新导向。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推动中小企业扩容提质，将其纳入标准化生产网络，提升制造水平与质量一致性，共享扩容提效。梯度培育关键。扩容提质提效。联合体带动强。专精特新导向。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鼓励链主牵头组建创新联合体，带动配套企业协同升级，形成大中小企业融通发展的企业培育新格局，联合体带动强。梯度培育关键。扩容提质提效。专精特新导向。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深化与南京航空航天大学等高校产学研合作，建设共性技术研发平台，攻关刀片电池与智能控制关键技术，产学研需深化。数智化要加速。机制待完善。攻关关键技术。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提升数字化与智能制造水平，扩大产业大脑应用，以工业互联网驱动研发、生产与服务的全链条协同创新，数智化要加速。产学研需深化。机制待完善。攻关关键技术。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完善创新激励机制，支持企业建设研发机构，推动科技成果转化与首台套应用，持续增强集群创新内生动力。产学研需深化。数智化要加速。机制待完善。攻关关键技术。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加强人才引育，完善职业教育与产教融合，引进高端研发与三电人才，缓解结构性短缺矛盾，人才是根本。金融需创新。要素保重点。集约保障用地。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创新金融服务，发展供应链金融与产业基金，缓解中小企业融资难，保障技改与智能化升级资金需求，金融需创新。人才是根本。要素保重点。集约保障用地。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约节约用地，保障能耗与环境容量指标，优先支持高效低耗项目，提升要素对高质量发展的保障能力，要素保重点。人才是根本。金融需创新。集约保障用地。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区域公用品牌推广，支持企业抱团出海，组织国际精准对接，提升福山零部件全球市场能见度，品牌要出海。平台需运营好。协同促长效。巩固集群成果。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优化产业基金使用与公共服务平台运营，完善标准、检测、认证一体化服务，营造公平竞争的市场环境，平台需运营好。品牌要出海。协同促长效。巩固集群成果。这一判断基于福山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健全产业链协同政策，统筹招商、创新与要素配置，巩固国家级集群建设成果，打造北方新能源商用车零部件产业标杆。品牌要出海。平台需运营好。协同促长效。巩固集群成果。这一判断基于福山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烟台市关于"加快建设绿色低碳城市"建议的答复（烟台市政府网）https://www.yantai.gov.cn/art/2025/6/30/art_45946_3273986.html</w:t>
      </w:r>
    </w:p>
    <w:p>
      <w:pPr>
        <w:spacing w:lineRule="exact" w:line="600" w:after="0"/>
        <w:ind w:firstLine="0"/>
      </w:pPr>
      <w:r>
        <w:rPr>
          <w:rFonts w:ascii="仿宋_GB2312" w:hAnsi="仿宋_GB2312" w:eastAsia="仿宋_GB2312"/>
          <w:b w:val="0"/>
          <w:sz w:val="32"/>
        </w:rPr>
        <w:t>2. 汽车产业链上的福山创新（福山区政府网）https://www.yantai.gov.cn/art/2024/7/23/art_31318_3205605.html</w:t>
      </w:r>
    </w:p>
    <w:p>
      <w:pPr>
        <w:spacing w:lineRule="exact" w:line="600" w:after="0"/>
        <w:ind w:firstLine="0"/>
      </w:pPr>
      <w:r>
        <w:rPr>
          <w:rFonts w:ascii="仿宋_GB2312" w:hAnsi="仿宋_GB2312" w:eastAsia="仿宋_GB2312"/>
          <w:b w:val="0"/>
          <w:sz w:val="32"/>
        </w:rPr>
        <w:t>3. 潍柴弗迪烟台产业园首台电池产品下线 福山新能源汽车产业迎来"链式"崛起（烟台市工信局）https://idb.yantai.gov.cn/art/2025/3/31/art_1357_2896196.html</w:t>
      </w:r>
    </w:p>
    <w:p>
      <w:pPr>
        <w:spacing w:lineRule="exact" w:line="600" w:after="0"/>
        <w:ind w:firstLine="0"/>
      </w:pPr>
      <w:r>
        <w:rPr>
          <w:rFonts w:ascii="仿宋_GB2312" w:hAnsi="仿宋_GB2312" w:eastAsia="仿宋_GB2312"/>
          <w:b w:val="0"/>
          <w:sz w:val="32"/>
        </w:rPr>
        <w:t>4. 山东重工潍柴集团新能源战略转型有大动作 烟台福山何以拼赢超级大项目（大众网烟台）https://yantai.dzwww.com/dz2022/202503/t20250328_15724861.htm</w:t>
      </w:r>
    </w:p>
    <w:p>
      <w:pPr>
        <w:spacing w:lineRule="exact" w:line="600" w:after="0"/>
        <w:ind w:firstLine="0"/>
      </w:pPr>
      <w:r>
        <w:rPr>
          <w:rFonts w:ascii="仿宋_GB2312" w:hAnsi="仿宋_GB2312" w:eastAsia="仿宋_GB2312"/>
          <w:b w:val="0"/>
          <w:sz w:val="32"/>
        </w:rPr>
        <w:t>5. 改革风帆劲 万亿征新程丨福山区加快推进新能源汽车产业链式发展（胶东在线）https://www.toutiao.com/article/7393254055570784768/</w:t>
      </w:r>
    </w:p>
    <w:p>
      <w:pPr>
        <w:spacing w:lineRule="exact" w:line="600" w:after="0"/>
        <w:ind w:firstLine="0"/>
      </w:pPr>
      <w:r>
        <w:rPr>
          <w:rFonts w:ascii="仿宋_GB2312" w:hAnsi="仿宋_GB2312" w:eastAsia="仿宋_GB2312"/>
          <w:b w:val="0"/>
          <w:sz w:val="32"/>
        </w:rPr>
        <w:t>6. 山东省工业和信息化厅 中小企业特色产业集群专栏 http://gxt.shandong.gov.cn/</w:t>
      </w:r>
    </w:p>
    <w:p>
      <w:pPr>
        <w:spacing w:lineRule="exact" w:line="600" w:after="0"/>
        <w:ind w:firstLine="0"/>
      </w:pPr>
      <w:r>
        <w:rPr>
          <w:rFonts w:ascii="仿宋_GB2312" w:hAnsi="仿宋_GB2312" w:eastAsia="仿宋_GB2312"/>
          <w:b w:val="0"/>
          <w:sz w:val="32"/>
        </w:rPr>
        <w:t>7. 烟台市人民政府 产业经济频道 http://www.yantai.gov.cn/</w:t>
      </w:r>
    </w:p>
    <w:p>
      <w:pPr>
        <w:spacing w:lineRule="exact" w:line="600" w:after="0"/>
        <w:ind w:firstLine="0"/>
      </w:pPr>
      <w:r>
        <w:rPr>
          <w:rFonts w:ascii="仿宋_GB2312" w:hAnsi="仿宋_GB2312" w:eastAsia="仿宋_GB2312"/>
          <w:b w:val="0"/>
          <w:sz w:val="32"/>
        </w:rPr>
        <w:t>8. 福山区人民政府官网 https://www.yantai.gov.cn/</w:t>
      </w:r>
    </w:p>
    <w:p>
      <w:pPr>
        <w:spacing w:lineRule="exact" w:line="600" w:after="0"/>
        <w:ind w:firstLine="0"/>
      </w:pPr>
      <w:r>
        <w:rPr>
          <w:rFonts w:ascii="仿宋_GB2312" w:hAnsi="仿宋_GB2312" w:eastAsia="仿宋_GB2312"/>
          <w:b w:val="0"/>
          <w:sz w:val="32"/>
        </w:rPr>
        <w:t>9. 大众网 烟台新能源产业报道 http://www.dzwww.com/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