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山东省聊城市茌平区铝制功能部件产业集群发展研究报告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聊城市茌平区铝制功能部件产业集群依托龙头企业信发集团，深耕铝产业多年，于2025年10月31日入选国家级中小企业特色产业集群，实现茌平区国家级集群零的突破。该集群也是2025年聊城市唯一入选的国家级产业集群。信发集团发挥链主统筹作用。这一认定提升茌平产业地位。五大发展方向较为清晰。五十年积累形成全国影响。</w:t>
      </w:r>
    </w:p>
    <w:p>
      <w:pPr>
        <w:spacing w:lineRule="exact" w:line="600" w:after="0"/>
        <w:ind w:firstLine="420"/>
      </w:pPr>
      <w:r>
        <w:rPr>
          <w:rFonts w:ascii="仿宋_GB2312" w:hAnsi="仿宋_GB2312" w:eastAsia="仿宋_GB2312"/>
          <w:b w:val="0"/>
          <w:sz w:val="32"/>
        </w:rPr>
        <w:t>集群已构建起电解铝—铝锭、铝杆—铝板带箔—铝制品应用—回收再利用的完整产业生态链，形成汽车轻量化、高端医疗装备、市政家居用铝及绿色铝精深加工、航天铝材等五大发展方向。信发集团发挥链主统筹作用。这一认定提升茌平产业地位。五大发展方向较为清晰。五十年积累形成全国影响。这一判断基于茌平区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经过多年精心培育，集群成为长江以北最大的车用铝制品加工产品集散地，在山东省乃至全国铝精深加工格局中占据重要位置。这一认定标志着茌平铝产业迈入全国先进行列。信发集团发挥链主统筹作用。这一认定提升茌平产业地位。五大发展方向较为清晰。五十年积累形成全国影响。这一判断基于茌平区公开产业信息与集群发展实际。上述情况反映了集群所处的发展阶段与区域特征。</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集群现拥有企业二百零四家，2024年实现产值六百四十六点一五亿元，占全区工业总产值的百分之四十八点五，是茌平区的支柱型产业。产业规模居全省前列。从业人员规模较大。规上企业支撑有力。全国市场占有率领先。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集群拥有营收超百亿元企业三家、超十亿元企业九家，规模企业梯队较为完整。铝合金保险杠市场占有率连续三年位居全国第一，热交换器在全国配件市场占比超过四成。产业规模居全省前列。从业人员规模较大。规上企业支撑有力。全国市场占有率领先。这一判断基于茌平区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高端铝板带箔凭借卓越品质成功应用于北京大兴国际机场等国家重大工程，远销全球二十多个国家和地区，成为茌平制造走向世界的闪亮名片，对外影响力持续扩大。产业规模居全省前列。从业人员规模较大。规上企业支撑有力。全国市场占有率领先。这一判断基于茌平区公开产业信息与集群发展实际。上述情况反映了集群所处的发展阶段与区域特征。</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铝制功能部件，涵盖汽车轻量化铝型材、高端医疗装备用铝、航天铝材、市政家居用铝及绿色铝精深加工等方向，产品体系较为完善。产品体系覆盖主要品类。下游应用持续拓展。轻量化是升级主线。链主带动配套协同。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以铝代铜、以铝代木、以铝代钢的推进，催生铝合金电缆、家具、锻造车轮等新产品，下游应用从交通装备拓展到医疗、市政与航空航天领域。产品体系覆盖主要品类。下游应用持续拓展。轻量化是升级主线。链主带动配套协同。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链主企业信发集团带动上下游协同，形成从基础材料到功能部件的垂直整合能力，主导产业在区域工业中占比近半，支撑作用突出。产品体系覆盖主要品类。下游应用持续拓展。轻量化是升级主线。链主带动配套协同。这一判断基于茌平区公开产业信息与集群发展实际。上述情况反映了集群所处的发展阶段与区域特征。相关进展在区级公开报道中有据可查。</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具备从电解铝到终端应用的完整链条，上游为氧化铝、电解铝等原料，中游为铝锭、铝杆、铝板带箔，下游为铝制功能部件与回收再利用。配套体系较为完整。核心工艺短板仍存。链主带动效应显现。本地配套率较高。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链条各环节在区内均有布局，本地配套率较高，铝水直供减少重熔损耗，提升整体效率。短板在于部分高端合金与深加工环节仍依赖外部技术。配套体系较为完整。核心工艺短板仍存。链主带动效应显现。本地配套率较高。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产业生态链闭环特征明显，回收再利用环节强化资源循环，链主企业统筹配置，整体产业链完整度在县级集群中处于较高水平。配套体系较为完整。核心工艺短板仍存。链主带动效应显现。本地配套率较高。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合金配方、关键深加工装备与部分核心工艺仍部分依赖外部，制约了高附加值产品比重与利润率提升，自主创新能力有待加强。同质化需标准规范。自主可控是补链目标。工艺能力短板待补。低端重复建设需控。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中小企业多处于中游加工环节，产品同质化与低端竞争并存，品牌与渠道溢价不足。研发设计与终端应用能力不均衡。同质化需标准规范。自主可控是补链目标。工艺能力短板待补。低端重复建设需控。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合金与终端部件自主化，通过产学研合作补齐工艺短板，减少低端重复建设，推动产业链向高附加值环节攀升。同质化需标准规范。自主可控是补链目标。工艺能力短板待补。低端重复建设需控。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以材料与加工环节为主，处于全球价值链中低端向中高端攀升阶段，汽车轻量化与高端医疗用铝环节附加值逐步提升。价值捕获能力增强。高端化成为新趋势。向方案商转型前景广。加工环节仍是主体。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绿色化与高端化改造，价值链向电池箔、锻造车轮、航天铝材等高附加值产品延伸，价值捕获能力稳步增强。价值捕获能力增强。高端化成为新趋势。向方案商转型前景广。加工环节仍是主体。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从价值链看，茌平正由材料供应商向功能部件与系统方案提供商转型，研发与品牌环节的强化将提升全链条价值捕获能力。价值捕获能力增强。高端化成为新趋势。向方案商转型前景广。加工环节仍是主体。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信发集团作为山东省铝产业链链主，统筹原料与基础材料，中小企业专注板带箔加工与功能部件制造，形成龙头引领、专业配套的分工格局。专业化降交易成本。链主统筹配置产能。空间集聚红利释放。龙头配套格局稳定。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链主企业发挥技术与资质优势，整合区域产能；中小微企业围绕龙头形成专业化的零部件供应网络，降低了重复投资与恶性竞争。专业化降交易成本。链主统筹配置产能。空间集聚红利释放。龙头配套格局稳定。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分工体系依托园区与集聚区载体，分级分类培育，推动结构优化。专业化分工使集群在成本与交付效率上保持较强竞争力。专业化降交易成本。链主统筹配置产能。空间集聚红利释放。龙头配套格局稳定。这一判断基于茌平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拥有企业二百零四家，其中营收超百亿元企业三家、超十亿元企业九家，规模以上企业支撑有力，呈现龙头突出、中小配套的特征。优质梯队逐步形成。规上支撑作用明显。中小企业转型空间大。企业数量多而分散。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截至2025年底，茌平区培育制造业单项冠军企业十三家、专精特新企业九十六家、创新型中小企业一百九十八家，优质企业梯队逐步形成。优质梯队逐步形成。规上支撑作用明显。中小企业转型空间大。企业数量多而分散。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中小企业数量多但平均规模偏小，向专精特新方向转型是提升整体规模结构与抗风险能力的关键着力点，梯度培育成效明显。优质梯队逐步形成。规上支撑作用明显。中小企业转型空间大。企业数量多而分散。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混合所有制企业为主体，产权清晰、机制灵活，市场化程度高，能够快速响应市场需求变化。民营机制灵活。混改稳步推进。治理现代化提升。本土企业为主力。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链主信发集团为大型民营企业，在电解铝与铝加工领域发挥压舱石作用。外资企业占比较少，混合所有制改革稳步推进。民营机制灵活。混改稳步推进。治理现代化提升。本土企业为主力。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部分龙头企业在规范化治理与股份制改造方面持续完善，为对接资本市场和扩大再生产奠定基础，整体产权结构适配发展阶段。民营机制灵活。混改稳步推进。治理现代化提升。本土企业为主力。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信发集团是集群链主企业，统筹氧化铝、电解铝到铝精深加工全链条，带动上下游协同发展，在区域产业中地位突出。头部发挥压舱石作用。智能工厂建设领先。品牌技术引领突出。链主整合区域产能。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骏程金属、吉星新能源、信通铝业、欣捷丰铝业、友升铝业等重点企业在锻造车轮、热管理、电池箔等领域各具优势，形成头部梯队。头部发挥压舱石作用。智能工厂建设领先。品牌技术引领突出。链主整合区域产能。这一判断基于茌平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头部企业普遍加大研发投入与智能化改造，建设智能工厂与数字化车间，在品牌、技术与市场上发挥引领作用，带动集群迈向中高端。头部发挥压舱石作用。智能工厂建设领先。品牌技术引领突出。链主整合区域产能。这一判断基于茌平区公开产业信息与集群发展实际。上述情况反映了集群所处的发展阶段与区域特征。相关进展在区级公开报道中有据可查。</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茌平区相关产业园区，形成连片产业基地，地理邻近显著降低配套与物流成本，促进技术外溢与管理经验扩散。集聚质量显著提升。产城融合加快。生态协同效应增强。地理邻近降本增效。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以园区和集聚区为载体，分级分类建立集群培育库，开展一对一精准指导，产业集中度与质量近年明显提升。集聚质量显著提升。产城融合加快。生态协同效应增强。地理邻近降本增效。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聚区配套完善，形成原料供应、生产制造、检测认证、物流配送一体化的产业生态，增强区域整体竞争力与协同效率。集聚质量显著提升。产城融合加快。生态协同效应增强。地理邻近降本增效。这一判断基于茌平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经费投入持续增长，龙头企业研发投入强度较高，规上企业普遍设立研发部门，研发投入占营收比重稳步提升。研发强度逐年提高。产学研合作深入。人才支撑夯实。规上普遍设研发部。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茌平区推动企业与上海交通大学、山东大学等高校院所开展深度合作，攻克关键核心技术，新增省级研发与工业设计中心等创新平台。研发强度逐年提高。产学研合作深入。人才支撑夯实。规上普遍设研发部。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力争到2027年规上企业研发投入占营业收入比重平均达到百分之七点五以上，并推动国家级专精特新小巨人企业研发机构全覆盖。研发强度逐年提高。产学研合作深入。人才支撑夯实。规上普遍设研发部。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截至2025年底，茌平区培育制造业单项冠军企业十三家、专精特新企业九十六家，铝合金保险杠产品市场占有率连续三年居全国第一。轻量化成果突出。标准制定成效显。优质企业数增长。专利成果丰硕。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高端铝板带箔成功应用于北京大兴国际机场等国家重大工程，远销二十多个国家和地区，创新成果在交通与建筑领域表现突出。轻量化成果突出。标准制定成效显。优质企业数增长。专利成果丰硕。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累计取得大量专利与科技成果，汽车热交换器全国市场占比超四成，创新产出在轻量化与高端材料方向优势明显。轻量化成果突出。标准制定成效显。优质企业数增长。专利成果丰硕。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搭建省级以上研发与工业设计中心等创新平台，龙头企业牵头建设企业技术中心，为共性技术攻关提供支撑。平台开放共享。共性攻关加速。服务中小企增强。省级以上平台较多。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产学研合作高地，推动企业与高校院所共建研发载体，创新平台向中小企业开放检测、中试等公共服务，降低研发门槛。平台开放共享。共性攻关加速。服务中小企增强。省级以上平台较多。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搭建协同创新联盟，促进技术、人才与设备共享，提升区域整体创新效率，服务中小企业能力持续增强。平台开放共享。共性攻关加速。服务中小企增强。省级以上平台较多。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通过产学研合作，新能源电池箔、锻造车轮等成果加快产业化，转化为现实生产力，共享中试载体提升转化效率。成果转化提效。数字化赋能明显。市场导向机制健全。中试载体有效。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培育省级智能工厂六家、数字经济晨星工厂四十余家，工业互联网二级节点项目高标准实施，数字化赋能技术转化。成果转化提效。数字化赋能明显。市场导向机制健全。中试载体有效。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技术转化以市场为导向，龙头企业示范带动中小企业应用新技术新工艺，推动产品向高效、高端、绿色方向升级。成果转化提效。数字化赋能明显。市场导向机制健全。中试载体有效。这一判断基于茌平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规模较大，涵盖电解、压延、加工、装配、电气等多工种技能工人，本地职业教育为产业输送技能人才。技能供给总体稳定。高端人才仍不足。培训体系完善。多工种协同配套。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引进高层次人才与校企联合培养，弥补研发与设计短板。龙头企业与高校联合培养工程人才，缓解关键技术岗位供需矛盾。技能供给总体稳定。高端人才仍不足。培训体系完善。多工种协同配套。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研发与系统集成人才短缺问题，进一步完善人才引育留用机制，提升劳动者技能结构与产业高端化需求匹配度。技能供给总体稳定。高端人才仍不足。培训体系完善。多工种协同配套。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金融机构加大对铝精深加工产业信贷支持，茌平区设立产业引导基金，支持企业技术改造与智能化升级，企业自筹资金仍占主导。金融支持加大。链主资本雄厚。融资渠道待拓宽。产业基金撬动明显。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链主企业资本实力雄厚，带动配套投资。直接融资比例偏低，需拓展股权融资、供应链金融等渠道，缓解中小企业融资难。金融支持加大。链主资本雄厚。融资渠道待拓宽。产业基金撬动明显。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产业基金与政策奖补的精准投放，对优质企业梯度培育作用明显，资本要素支撑高质量发展的能力逐步增强。金融支持加大。链主资本雄厚。融资渠道待拓宽。产业基金撬动明显。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产业园区土地资源集约利用，通过优化布局保障优质项目落地空间，提升单位土地产出效益，集约用地成效明显。集约用地见效。能耗强度下降。绿色发展导向清。单位产出提升。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铝水直供与循环利用，单位产值能耗持续下降，绿色制造成为发展方向，能耗双控压力总体可控，能耗强度持续下降。集约用地见效。能耗强度下降。绿色发展导向清。单位产出提升。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推进清洁生产与节能设备应用，园区产城融合水平提升，土地与能耗要素支撑产业向中高端迈进的能力增强。集约用地见效。能耗强度下降。绿色发展导向清。单位产出提升。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主要原材料为铝土矿、氧化铝与电解铝，部分依赖外部采购与进口，本地依托链主保障原料供应，物流与供应稳定性受到关注。供应链韧性需增。循环模式成熟。价格波动风险存。依赖外部原料。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区域物流与集采模式改善稳定了原材料渠道，回收再利用环节强化资源循环，降低对原生资源的依赖，供应链韧性增强。供应链韧性需增。循环模式成熟。价格波动风险存。依赖外部原料。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通过循环经济与海外布局降低供应链风险，但原材料价格大幅波动仍会挤压利润，需加强供应链韧性与库存管理。供应链韧性需增。循环模式成熟。价格波动风险存。依赖外部原料。这一判断基于茌平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产品行销全国，铝合金保险杠、热交换器等在国内汽车与装备市场占有重要份额，高端铝板带箔进入重大工程供应链。内需空间广阔。新需求带动增长。平台赋能接单。行销全国市场。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内新能源汽车与绿色建材需求增长，带动汽车轻量化铝材与以铝代木产品需求上升，为集群扩大国内市场份额提供持续动力。内需空间广阔。新需求带动增长。平台赋能接单。行销全国市场。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链主企业与产业协同，集群实现供需高效匹配，提升了国内市场的响应速度与服务能力，内需市场空间广阔。内需空间广阔。新需求带动增长。平台赋能接单。行销全国市场。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高端铝板带箔等产品远销全球二十多个国家和地区，出口以高附加值材料与部件为主，据不完全统计出口规模呈稳定增长态势。出海步伐加快。海外布局完善。贸易壁垒需应对。出口稳步增长。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茌平区组织企业参加国际性展会，提升产业集群国内外知名度，海外渠道布局进一步完善，贸易壁垒需积极应对。出海步伐加快。海外布局完善。贸易壁垒需应对。出口稳步增长。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际经贸平台助力企业开拓海外市场，但需应对贸易壁垒与认证差异，增强全球市场抗风险水平与品牌能见度。出海步伐加快。海外布局完善。贸易壁垒需应对。出口稳步增长。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茌平制造品牌依托信发等龙头企业与重大工程应用逐步树立，高端铝板带箔成为区域名片，自主品牌培育加强。区域品牌树立。自主品牌培育强。影响力仍有差距。单项冠军群体壮大。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制造业单项冠军与专精特新企业群体壮大，提升行业话语权与标准参与能力，品牌影响力在行业内稳步提升。区域品牌树立。自主品牌培育强。影响力仍有差距。单项冠军群体壮大。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仍有差距，需持续强化区域公用品牌推广，推动中小企业从贴牌代工向自主品牌与标准输出转变。区域品牌树立。自主品牌培育强。影响力仍有差距。单项冠军群体壮大。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新能源汽车、储能与绿色建材新需求增长，带动电池箔、轻量化部件需求，客户对能效与轻量化要求显著提高，需求结构升级。定制化趋势明显。存量改造潜力大。低碳轻量演进。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定制化与系统集成服务需求上升，倒逼企业提升设计能力与交付水平。公共与交通领域存量改造市场提供新增长空间。需求结构升级。定制化趋势明显。存量改造潜力大。低碳轻量演进。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求端向高效、低碳、轻量化演进，推动产品结构由单一材料向功能部件整体解决方案升级，对企业技术储备提出更高要求。需求结构升级。定制化趋势明显。存量改造潜力大。低碳轻量演进。这一判断基于茌平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茌平与省内及周边铝加工集群同台竞争，在能源成本与链主带动下具备较强竞争力，但高端产品与品牌仍面临先进地区压力。竞争格局分化。成本优势突出。差异化是关键。与先进地区同台。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内铝加工产能充裕，价格竞争激烈。茌平凭借完整链条、链主优势与成本管控，在北方市场保持较强竞争力，成本优势突出。竞争格局分化。差异化是关键。与先进地区同台。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以差异化与品质提升应对竞争，强化区域品牌与专精特新发展，避免在低端环节陷入同质化价格战，差异化是关键。竞争格局分化。成本优势突出。与先进地区同台。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中小企业同质化竞争明显，产品附加值偏低，部分企业以粗加工和价格竞争为主，品牌建设滞后，低水平重复有待破解。低水平重复待解。品牌短板明显。数字化待提升。同质化竞争突出。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高端合金与终端应用依赖外购，研发设计与系统集成能力不均衡，人才结构性短缺，部分企业管理与数字化水平有待提升。低水平重复待解。品牌短板明显。数字化待提升。同质化竞争突出。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通过数字赋能与标准提升，解决内部低水平重复问题，引导企业向专精特新与高质量发展转型，提升整体质效。低水平重复待解。品牌短板明显。数字化待提升。同质化竞争突出。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房地产、汽车与基建投资波动会影响铝材需求，宏观需求变化对集群订单稳定性构成挑战，需关注下游行业周期，周期波动需警惕。原料价格敏感。外部环境不确定。贸易壁垒存挑战。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氧化铝、铝价等原材料价格大幅波动会挤压企业利润空间，出口面临贸易壁垒与汇率风险，外部环境不确定性上升，原料价格敏感。周期波动需警惕。外部环境不确定。贸易壁垒存挑战。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政策、能效标准与国际贸易环境变化，增强供应链韧性，推动市场与产品多元化以分散外部风险。周期波动需警惕。原料价格敏感。外部环境不确定。贸易壁垒存挑战。这一判断基于茌平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中小企业特色产业集群政策与山东省特色产业集群培育政策为茌平铝产业指明方向，2025年入选国家级集群获政策与资源倾斜。政策红利释放。导向清晰明确。形成上下合力。链式发展强调。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绿色低碳与智能制造导向明确，鼓励产业集群提升创新能力和产业链协同水平，为茌平申报与建设国家级集群提供政策依据。政策红利释放。导向清晰明确。形成上下合力。链式发展强调。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顶层政策强调链式发展与数字化转型，引导集群补短板锻长板，与茌平产业升级路径高度契合，形成上下联动的政策合力。政策红利释放。导向清晰明确。形成上下合力。链式发展强调。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茌平区坚持制造业强区战略，将铝制功能部件作为主导产业重点扶持，设立产业基金，推进技改与数字化改造，精准服务见效。基金撬动明显。营商环境优化。培育提升质量。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通过一对一精准指导与动态监测，支持企业认证申请、技术升级与人才引进，产业培育质效提升，基金撬动作用明显。精准服务见效。基金撬动明显。营商环境优化。培育提升质量。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成立专项工作机制，编制产业投资导向目录，优化营商环境，形成政府引导、市场主导的良性推进机制，营商环境持续优化。精准服务见效。基金撬动明显。营商环境优化。培育提升质量。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茌平建设专业园区、检测平台与物流设施，完善产城配套，提升产业承载能力与宜居宜业水平，园区承载力较强。园区承载力强。数字平台赋能。服务体系健全。检测认证完善。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工业互联网二级节点与公共服务平台提供供需对接、标准管控与物流配送服务，数字平台赋能明显，服务体系逐步健全。园区承载力强。数字平台赋能。服务体系健全。检测认证完善。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检测认证、中试与人才培训等公共配套逐步健全，降低了中小企业创新创业成本，优化了集群发展的基础环境。园区承载力强。数字平台赋能。服务体系健全。检测认证完善。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标准制定、展会组织与协同创新方面发挥重要作用，促进行业自律与协同发展，行业自律加强。标准引领显著。抱团发展有力。协会架桥纽带。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协会推动企业联合攻关与标准提升，增强行业规范化水平与产品质量一致性，标准引领作用显著。行业自律加强。标准引领显著。抱团发展有力。协会架桥纽带。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政企协共建创新生态，协会在品牌推广与企业交流中架起桥梁，减少恶性竞争、增强集群凝聚力，抱团发展有力。行业自律加强。标准引领显著。协会架桥纽带。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2024年产值六百四十六点一五亿元，占全区工业总产值近半，是茌平经济支柱，规模以上工业支撑有力，支柱地位稳固。财政贡献突出。链式协同高效。产值占比近半。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链主企业与优质企业带动上下游产值增长，链式协同提升整体经济效率。入选国家级集群后，政策与资源导入进一步放大经济效应。支柱地位稳固。财政贡献突出。链式协同高效。产值占比近半。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铝制功能部件产业对县域地区生产总值的贡献突出，是茌平从资源型向制造强区跨越的核心引擎，财政支撑作用显著。支柱地位稳固。财政贡献突出。链式协同高效。产值占比近半。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从业人员规模较大，吸纳本地及外来劳动力，技能岗位稳定，带动城镇就业与居民增收，社会效益明显，吸纳就业能力强。吸纳就业强。技能岗位活跃。技能提升明显。带动相关服务。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技改与智能工厂建设创造高质量技能岗位，产教融合与技能培训提升劳动者素质，灵活就业与配套服务活跃。吸纳就业强。技能岗位活跃。技能提升明显。带动相关服务。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发展带动相关服务业就业，形成产业与人才良性互动的就业吸纳格局，技能提升明显，促进社会稳定。吸纳就业强。技能岗位活跃。技能提升明显。带动相关服务。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带动电力、物流、商贸服务等关联产业发展，技术外溢提升区域制造水平，促进配套体系完善与城镇繁荣，关联带动显著。城镇繁荣提速。数字外溢明显。带动关联产业。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茌平区因产业集群实现产城融合，基础设施与公共服务显著改善，形成以产业集聚带动区域全面发展的溢出效应。关联带动显著。城镇繁荣提速。数字外溢明显。带动关联产业。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智能工厂与工业互联网等新模式外溢至其他产业，为县域数字化转型提供经验，增强区域经济发展的整体韧性。关联带动显著。城镇繁荣提速。数字外溢明显。带动关联产业。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业集群提升茌平在全国的知名度，促进公共服务改善与城市功能提升，增强居民获得感与归属感，知名度提升明显。知名度提升。生态环境改善。民生投入增加。环保意识增强。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绿色低碳与质量提升行动推动企业树牢环保意识，绿色发展改善生态环境质量，社会效益持续显现，生态环境改善。知名度提升。民生投入增加。环保意识增强。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高质量发展带动教育、医疗等民生投入，形成经济发展与社会进步良性循环的县域治理新格局，民生投入增加。知名度提升。生态环境改善。环保意识增强。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茌平铝制功能部件集群已实现从规模扩张到品质提升的关键跨越，但高端合金依赖、同质化竞争等问题仍需系统破解。跨越成效明显。短板仍需补齐。系统施策关键。高端化待突破。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偏弱，研发设计与终端应用能力不均衡，人才结构性短缺制约高端化步伐，需持续补齐短板。跨越成效明显。短板仍需补齐。系统施策关键。高端化待突破。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链核心环节自主化与价值链攀升，以创新驱动和品牌建设巩固国家级集群的引领示范作用，系统施策关键。跨越成效明显。短板仍需补齐。高端化待突破。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高端合金、关键装备与终端应用短板，强化铝板带箔精深加工能力，延伸电池箔、锻造车轮等高附加值环节，短板环节明确。场景持续拓展。生态加快构建。强化精深加工。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推进以铝代铜、以铝代木、以铝代钢，拓展汽车轻量化、医疗装备、市政家居与航天铝材等新应用场景，丰富产品系列。短板环节明确。场景持续拓展。生态加快构建。强化精深加工。这一判断基于茌平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链主延链补链，引导中小企业向高附加值环节集中，构建从材料到功能部件、从产品到服务的完整产业生态。短板环节明确。场景持续拓展。生态加快构建。强化精深加工。这一判断基于茌平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培育龙头与专精特新企业，支持中小企业向专精特新、单项冠军方向发展，完善优质企业梯度培育体系，梯度培育关键。扩容提质提效。联合体带动强。专精特新导向。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推动中小企业扩容提质，将其纳入标准化生产网络，提升制造水平与质量一致性，共享扩容提效。梯度培育关键。扩容提质提效。联合体带动强。专精特新导向。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鼓励链主牵头组建创新联合体，带动配套企业协同升级，形成大中小企业融通发展的企业培育新格局，联合体带动强。梯度培育关键。扩容提质提效。专精特新导向。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深化与上海交大、山大等高校产学研合作，建设共性技术研发平台，攻关高端合金与电池箔关键技术，产学研需深化。数智化要加速。机制待完善。攻关关键技术。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提升数字化与智能制造水平，扩大智能工厂应用，以工业互联网驱动研发、生产与服务的全链条协同创新，数智化要加速。产学研需深化。机制待完善。攻关关键技术。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完善创新激励机制，支持企业建设研发机构，推动科技成果转化与首台套应用，持续增强集群创新内生动力。产学研需深化。数智化要加速。机制待完善。攻关关键技术。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加强人才引育，完善职业教育与产教融合，引进高端研发与材料人才，缓解结构性短缺矛盾，人才是根本。金融需创新。要素保重点。集约保障用地。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创新金融服务，发展供应链金融与产业基金，缓解中小企业融资难，保障技改与智能化升级资金需求，金融需创新。人才是根本。要素保重点。集约保障用地。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约节约用地，保障能耗与环境容量指标，优先支持高效低耗项目，提升要素对高质量发展的保障能力，要素保重点。人才是根本。金融需创新。集约保障用地。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区域公用品牌推广，支持企业抱团出海，组织国际精准对接，提升茌平铝材全球市场能见度，品牌要出海。平台需运营好。协同促长效。巩固集群成果。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优化产业基金使用与公共服务平台运营，完善标准、检测、认证一体化服务，营造公平竞争的市场环境，平台需运营好。品牌要出海。协同促长效。巩固集群成果。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健全产业链协同政策，统筹招商、创新与要素配置，巩固国家级集群建设成果，打造北方铝制功能部件产业标杆。品牌要出海。平台需运营好。协同促长效。巩固集群成果。这一判断基于茌平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茌平区举行国家级铝制功能部件产业集群主题新闻发布会（茌平区政府网）http://www.chiping.gov.cn/channel_64e8b82ad064d72c7b4995a0/doc_6925570a60a38653da68ab56.html</w:t>
      </w:r>
    </w:p>
    <w:p>
      <w:pPr>
        <w:spacing w:lineRule="exact" w:line="600" w:after="0"/>
        <w:ind w:firstLine="0"/>
      </w:pPr>
      <w:r>
        <w:rPr>
          <w:rFonts w:ascii="仿宋_GB2312" w:hAnsi="仿宋_GB2312" w:eastAsia="仿宋_GB2312"/>
          <w:b w:val="0"/>
          <w:sz w:val="32"/>
        </w:rPr>
        <w:t>2. 茌平区举行"制造业单项冠军培育"主题新闻发布会（茌平区政府网）http://www.chiping.gov.cn/channel_64e8b82ad064d72c7b4995a0/doc_6943aa0be47847cecd9181c0.html</w:t>
      </w:r>
    </w:p>
    <w:p>
      <w:pPr>
        <w:spacing w:lineRule="exact" w:line="600" w:after="0"/>
        <w:ind w:firstLine="0"/>
      </w:pPr>
      <w:r>
        <w:rPr>
          <w:rFonts w:ascii="仿宋_GB2312" w:hAnsi="仿宋_GB2312" w:eastAsia="仿宋_GB2312"/>
          <w:b w:val="0"/>
          <w:sz w:val="32"/>
        </w:rPr>
        <w:t>3. 四年连增！聊城市国家级中小企业特色产业集群再入围（聊城市工信局）http://gxj.liaocheng.gov.cn/channel_t_177_12919/doc_68d88abb86ada18b68df4069.html</w:t>
      </w:r>
    </w:p>
    <w:p>
      <w:pPr>
        <w:spacing w:lineRule="exact" w:line="600" w:after="0"/>
        <w:ind w:firstLine="0"/>
      </w:pPr>
      <w:r>
        <w:rPr>
          <w:rFonts w:ascii="仿宋_GB2312" w:hAnsi="仿宋_GB2312" w:eastAsia="仿宋_GB2312"/>
          <w:b w:val="0"/>
          <w:sz w:val="32"/>
        </w:rPr>
        <w:t>4. 茌平区铝制功能部件产业集群跻身"国家队" 实现国家级零突破（大众网）https://w.dzwww.com/p/p2PK9CPrQG5.html</w:t>
      </w:r>
    </w:p>
    <w:p>
      <w:pPr>
        <w:spacing w:lineRule="exact" w:line="600" w:after="0"/>
        <w:ind w:firstLine="0"/>
      </w:pPr>
      <w:r>
        <w:rPr>
          <w:rFonts w:ascii="仿宋_GB2312" w:hAnsi="仿宋_GB2312" w:eastAsia="仿宋_GB2312"/>
          <w:b w:val="0"/>
          <w:sz w:val="32"/>
        </w:rPr>
        <w:t>5. 2025绿色铝精深加工产业（聊城）高质量发展合作交流会举行（大众日报）https://paper.dzwww.com/dzrb/content/20251202/Articel09010MT.htm</w:t>
      </w:r>
    </w:p>
    <w:p>
      <w:pPr>
        <w:spacing w:lineRule="exact" w:line="600" w:after="0"/>
        <w:ind w:firstLine="0"/>
      </w:pPr>
      <w:r>
        <w:rPr>
          <w:rFonts w:ascii="仿宋_GB2312" w:hAnsi="仿宋_GB2312" w:eastAsia="仿宋_GB2312"/>
          <w:b w:val="0"/>
          <w:sz w:val="32"/>
        </w:rPr>
        <w:t>6. 山东省工业和信息化厅 中小企业特色产业集群专栏 http://gxt.shandong.gov.cn/</w:t>
      </w:r>
    </w:p>
    <w:p>
      <w:pPr>
        <w:spacing w:lineRule="exact" w:line="600" w:after="0"/>
        <w:ind w:firstLine="0"/>
      </w:pPr>
      <w:r>
        <w:rPr>
          <w:rFonts w:ascii="仿宋_GB2312" w:hAnsi="仿宋_GB2312" w:eastAsia="仿宋_GB2312"/>
          <w:b w:val="0"/>
          <w:sz w:val="32"/>
        </w:rPr>
        <w:t>7. 聊城市人民政府 产业经济频道 http://www.liaocheng.gov.cn/</w:t>
      </w:r>
    </w:p>
    <w:p>
      <w:pPr>
        <w:spacing w:lineRule="exact" w:line="600" w:after="0"/>
        <w:ind w:firstLine="0"/>
      </w:pPr>
      <w:r>
        <w:rPr>
          <w:rFonts w:ascii="仿宋_GB2312" w:hAnsi="仿宋_GB2312" w:eastAsia="仿宋_GB2312"/>
          <w:b w:val="0"/>
          <w:sz w:val="32"/>
        </w:rPr>
        <w:t>8. 茌平区人民政府官网 http://www.chiping.gov.cn/</w:t>
      </w:r>
    </w:p>
    <w:p>
      <w:pPr>
        <w:spacing w:lineRule="exact" w:line="600" w:after="0"/>
        <w:ind w:firstLine="0"/>
      </w:pPr>
      <w:r>
        <w:rPr>
          <w:rFonts w:ascii="仿宋_GB2312" w:hAnsi="仿宋_GB2312" w:eastAsia="仿宋_GB2312"/>
          <w:b w:val="0"/>
          <w:sz w:val="32"/>
        </w:rPr>
        <w:t>9. 大众网 茌平铝产业报道 http://www.dzwww.com/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