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广饶县先进汽车零部件高端智造特色产业集群发展研究报告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广饶县先进汽车零部件高端智造特色产业集群位于山东省东营市广饶县，于2026年度入选山东省中小企业特色产业集群名单。集群以汽车制动配件、等速万向节传动轴、轻量化轮毂及高性能橡胶轮胎等核心产品为特色，是在广饶县深厚的橡胶轮胎产业基础上，向汽车关键零部件高端智造方向延伸形成的特色产业集群，体现了当地制造能力的迭代升级。</w:t>
      </w:r>
    </w:p>
    <w:p>
      <w:pPr>
        <w:spacing w:lineRule="exact" w:line="600" w:after="0"/>
        <w:ind w:firstLine="420"/>
      </w:pPr>
      <w:r>
        <w:rPr>
          <w:rFonts w:ascii="仿宋_GB2312" w:hAnsi="仿宋_GB2312" w:eastAsia="仿宋_GB2312"/>
          <w:b w:val="0"/>
          <w:sz w:val="32"/>
        </w:rPr>
        <w:t>从区位条件看，广饶县地处黄河三角洲高效生态经济区，毗邻东营港，具备连接环渤海与山东半岛城市群的交通优势。集群核心区分布在广饶经济开发区、大王经济开发区等载体，形成了以轮胎为龙头、以制动与传动部件为配套、以轮毂与汽车电子为延伸的产业布局。需重点关注，集群并非单一产品集聚，而是以轮胎加汽配双轮驱动，企业间通过本地配套圈实现上下游高效协同。</w:t>
      </w:r>
    </w:p>
    <w:p>
      <w:pPr>
        <w:spacing w:lineRule="exact" w:line="600" w:after="0"/>
        <w:ind w:firstLine="420"/>
      </w:pPr>
      <w:r>
        <w:rPr>
          <w:rFonts w:ascii="仿宋_GB2312" w:hAnsi="仿宋_GB2312" w:eastAsia="仿宋_GB2312"/>
          <w:b w:val="0"/>
          <w:sz w:val="32"/>
        </w:rPr>
        <w:t>就认定属性而言，该集群为2026年度认定的省级中小企业特色产业集群，主导产业涵盖汽车制动配件、传动轴、轮毂及橡胶轮胎四大领域。集群内既有金宇、永盛、兴源等轮胎龙头企业，也集聚了凯福瑞、宝泰制动、信义等专精特新汽配骨干。从产业链看，集群已纳入广饶县重点产业链长制管理，由县级领导担任链长统筹推进，体现出地方政府将其作为县域工业支柱重点培育的明确导向。</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以橡胶轮胎为绝对主体。据广饶县工业和信息化局公开数据，2024年广饶县橡胶轮胎产业实现工业总产值466.7亿元，同比增长13.1%；2025年全县橡胶轮胎产业产值与营收双双突破500亿元大关，已成为县域工业发展的最重要支柱。子午胎年产能接近2亿条，其中2025年产能达1.96亿条，稳居全国县域首位，规模优势十分突出。</w:t>
      </w:r>
    </w:p>
    <w:p>
      <w:pPr>
        <w:spacing w:lineRule="exact" w:line="600" w:after="0"/>
        <w:ind w:firstLine="420"/>
      </w:pPr>
      <w:r>
        <w:rPr>
          <w:rFonts w:ascii="仿宋_GB2312" w:hAnsi="仿宋_GB2312" w:eastAsia="仿宋_GB2312"/>
          <w:b w:val="0"/>
          <w:sz w:val="32"/>
        </w:rPr>
        <w:t>汽车零配件板块规模相对轮胎较小但增长稳健。根据广饶县重点产业链长制实施方案，机电汽配产业曾设定到2023年产值争取达到29亿元的目标；2025年政府工作报告提出实施捷鲨1000万套制动器衬片等总投资8.3亿元的9个机电汽配项目，持续提升产业规模。据不完全统计，集群内汽配企业年配套能力已达千万套级，涵盖刹车片、传动轴、轮毂等产品，整体呈现轮胎大、汽配专精特的体量结构。</w:t>
      </w:r>
    </w:p>
    <w:p>
      <w:pPr>
        <w:spacing w:lineRule="exact" w:line="600" w:after="0"/>
        <w:ind w:firstLine="420"/>
      </w:pPr>
      <w:r>
        <w:rPr>
          <w:rFonts w:ascii="仿宋_GB2312" w:hAnsi="仿宋_GB2312" w:eastAsia="仿宋_GB2312"/>
          <w:b w:val="0"/>
          <w:sz w:val="32"/>
        </w:rPr>
        <w:t>从外向规模看，2025年广饶县橡胶轮胎出口额达243.7亿元，占全国15.1%、全省26.6%，出口率达86.6%，产品远销180多个国家和地区。集群已形成高效的20公里配套圈，本地配套率达75%，重点轮胎企业设备数控化率超90%。总体看，集群以超500亿元的营收体量、近2亿条产能与七分之一的全国出口份额，确立了在全国汽车零部件版图中的突出地位。</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四大板块。其一为高性能橡胶轮胎，涵盖全钢载重胎、半钢乘用车胎及新能源专用胎，是集群规模最大、国际竞争力最强的支柱板块，8家企业入围全球轮胎75强。其二为汽车制动配件，以无铜环保刹车片为代表，向高附加值、绿色化升级。其三为等速万向节传动轴，实现从锻造到成品的全过程加工。其四为轻量化轮毂，推动产品向高强度、低能耗转型。</w:t>
      </w:r>
    </w:p>
    <w:p>
      <w:pPr>
        <w:spacing w:lineRule="exact" w:line="600" w:after="0"/>
        <w:ind w:firstLine="420"/>
      </w:pPr>
      <w:r>
        <w:rPr>
          <w:rFonts w:ascii="仿宋_GB2312" w:hAnsi="仿宋_GB2312" w:eastAsia="仿宋_GB2312"/>
          <w:b w:val="0"/>
          <w:sz w:val="32"/>
        </w:rPr>
        <w:t>从产业链协同看，四大板块并非孤立发展，而是围绕轮胎加形成紧密配套生态。轮胎上游延伸至钢丝帘线、炭黑、橡胶助剂，下游拓展至汽车维修设备与智慧物流；制动、传动、轮毂等汽配产品与轮胎共用检测、认证、出海平台，显著降低了协同成本。需重点关注，集群正积极抢占新能源汽车配套市场机遇，研发记忆橡胶轮胎、新能源静音耐磨技术等适配产品，主导产业结构持续向高端化演进。</w:t>
      </w:r>
    </w:p>
    <w:p>
      <w:pPr>
        <w:spacing w:lineRule="exact" w:line="600" w:after="0"/>
        <w:ind w:firstLine="420"/>
      </w:pPr>
      <w:r>
        <w:rPr>
          <w:rFonts w:ascii="仿宋_GB2312" w:hAnsi="仿宋_GB2312" w:eastAsia="仿宋_GB2312"/>
          <w:b w:val="0"/>
          <w:sz w:val="32"/>
        </w:rPr>
        <w:t>从产品结构演进看，集群主导产业正由传统燃油车配套向新能源车专用件拓展。以华盛橡胶联合科研院所攻关的新能源轮胎静音耐磨技术、宝泰制动的碳陶瓷无铜配方为代表，产品适配欧美高端市场并打开增量空间。总体看，集群主导产业以轮胎为根基、以汽配为高增长点，形成了龙头引领、专精特新跟进、内外协同的清晰产业格局，抗风险能力随之增强。</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起从原料供应、技术研发、生产制造到检验检测、循环利用的完整产业链。上游涵盖天然橡胶与合成橡胶、钢丝帘线、炭黑、橡胶助剂等关键原材料；中游为轮胎及制动、传动、轮毂等零部件制造；下游延伸至汽车维修设备、智慧物流与再制造。据公开报道，广饶县已形成从原料到循环利用的全链条，产业链完整度在国内县域集群中处于领先水平。</w:t>
      </w:r>
    </w:p>
    <w:p>
      <w:pPr>
        <w:spacing w:lineRule="exact" w:line="600" w:after="0"/>
        <w:ind w:firstLine="420"/>
      </w:pPr>
      <w:r>
        <w:rPr>
          <w:rFonts w:ascii="仿宋_GB2312" w:hAnsi="仿宋_GB2312" w:eastAsia="仿宋_GB2312"/>
          <w:b w:val="0"/>
          <w:sz w:val="32"/>
        </w:rPr>
        <w:t>在汽配细分链条上，凯福瑞汽车配件实现了等速驱动轴从原材料锻造到成品的全过程加工，宝泰制动完成了无铜刹车片从实验室研发到规模化量产的全链条转化，体现出关键零部件环节的自主可控。下游检测环节依托广饶县橡胶轮胎产品与材料质量检验中心，提供CNAS、SASO互认检测服务。总体看，集群在制造与检测环节完整性较强，但部分高端原材料仍依赖外部采购。</w:t>
      </w:r>
    </w:p>
    <w:p>
      <w:pPr>
        <w:spacing w:lineRule="exact" w:line="600" w:after="0"/>
        <w:ind w:firstLine="420"/>
      </w:pPr>
      <w:r>
        <w:rPr>
          <w:rFonts w:ascii="仿宋_GB2312" w:hAnsi="仿宋_GB2312" w:eastAsia="仿宋_GB2312"/>
          <w:b w:val="0"/>
          <w:sz w:val="32"/>
        </w:rPr>
        <w:t>从配套半径看，集群形成了高效的20公里配套圈，本地配套率达75%，重点企业设备数控化率超90%，70%以上主装备达到国际先进水平。这种高本地配套率显著降低了物流与协作成本，提升了产业链响应速度。需重点关注，集群内中小企业通过产业大脑平台共享供应链数据，进一步强化了链条协同效率，完整度优势持续转化为实实在在的竞争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完整，集群仍存在若干明显短板。其一，部分高端原材料与核心装备依赖外部供给，如特种合成橡胶、高端数控装备、部分汽车电子元器件仍需省外或进口，本地化率有待提升。其二，汽配板块整体规模偏小，与轮胎板块的体量差距明显，尚未形成旗鼓相当的第二支柱，抗周期波动能力受到明显制约。补齐上述短板，是提升集群整体韧性与抗风险能力的关键抓手。</w:t>
      </w:r>
    </w:p>
    <w:p>
      <w:pPr>
        <w:spacing w:lineRule="exact" w:line="600" w:after="0"/>
        <w:ind w:firstLine="420"/>
      </w:pPr>
      <w:r>
        <w:rPr>
          <w:rFonts w:ascii="仿宋_GB2312" w:hAnsi="仿宋_GB2312" w:eastAsia="仿宋_GB2312"/>
          <w:b w:val="0"/>
          <w:sz w:val="32"/>
        </w:rPr>
        <w:t>其二，研发设计环节相对制造环节偏弱。虽然已建成青岛科技大学广饶橡胶工业研究院等平台，但多数中小企业研发投入强度不高，原创性、引领性技术储备不足，产品仍以跟随改进为主。在汽车电子、智能底盘等高附加值环节布局较浅，价值链攀升面临技术瓶颈。需重点关注，人才与高端创新资源的区域流动性不足，制约了短板环节的快速补强。</w:t>
      </w:r>
    </w:p>
    <w:p>
      <w:pPr>
        <w:spacing w:lineRule="exact" w:line="600" w:after="0"/>
        <w:ind w:firstLine="420"/>
      </w:pPr>
      <w:r>
        <w:rPr>
          <w:rFonts w:ascii="仿宋_GB2312" w:hAnsi="仿宋_GB2312" w:eastAsia="仿宋_GB2312"/>
          <w:b w:val="0"/>
          <w:sz w:val="32"/>
        </w:rPr>
        <w:t>其三，循环经济与再制造环节仍处培育阶段。轮胎翻新、废旧橡胶高值化利用、刹车片回收体系尚未形成规模化闭环，与绿色化转型目标存在差距。同时，集群内企业多为独立市场主体，跨企业标准互认、联合出海的协同机制仍有优化空间。总体看，短板集中在高端原料、研发设计与循环末端三个环节，是后续补链的重点方向。针对短板的精准投入，将显著改善集群长期竞争的底层能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价值链位置看，集群轮胎板块已从中低端制造向品牌与技术标准环节攀升。8家企业入围全球轮胎75强，产品远销180多个国家和地区，永盛、金宇等头部企业通过海外建厂（如金宇越南基地）向研发加制造加品牌一体化迈进。但总体看，多数企业仍以代工与自主品牌并行，在高端乘用车胎、特种胎领域的品牌溢价仍低于国际一线品牌。</w:t>
      </w:r>
    </w:p>
    <w:p>
      <w:pPr>
        <w:spacing w:lineRule="exact" w:line="600" w:after="0"/>
        <w:ind w:firstLine="420"/>
      </w:pPr>
      <w:r>
        <w:rPr>
          <w:rFonts w:ascii="仿宋_GB2312" w:hAnsi="仿宋_GB2312" w:eastAsia="仿宋_GB2312"/>
          <w:b w:val="0"/>
          <w:sz w:val="32"/>
        </w:rPr>
        <w:t>在汽配价值链上，宝泰制动的碳陶瓷无铜配方产品出口占总产能90%以上，凭借NSF认证打开北美高端市场，价值链位置已接近中高端；凯福瑞的等速驱动轴为大众、长城、比亚迪等主机厂配套并出口欧美。需重点关注，集群正从产品出口向技术出海升级，华盛橡胶联合科研院所面向海外开展技术与标准输出，价值链位势稳步上移。价值链位势的上移，最终要体现为本地企业利润与品牌溢价的同步提升。</w:t>
      </w:r>
    </w:p>
    <w:p>
      <w:pPr>
        <w:spacing w:lineRule="exact" w:line="600" w:after="0"/>
        <w:ind w:firstLine="420"/>
      </w:pPr>
      <w:r>
        <w:rPr>
          <w:rFonts w:ascii="仿宋_GB2312" w:hAnsi="仿宋_GB2312" w:eastAsia="仿宋_GB2312"/>
          <w:b w:val="0"/>
          <w:sz w:val="32"/>
        </w:rPr>
        <w:t>从价值分配看，研发设计、品牌营销等高附加值环节本地留存比例仍偏低，利润重心偏向制造规模而非技术溢价。对比国际轮胎巨头，集群在原材料定价、渠道掌控与品牌溢价方面话语权有限。总体看，集群处于全球价值链中上游爬升阶段，需通过强化研发与品牌进一步向微笑曲线两端延伸，提升价值捕获能力。持续向高端环节延伸，是避免陷入低成本竞争的根本路径。</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呈现龙头引领、专精特新跟进的清晰格局。轮胎领域由金宇、永盛、兴源、恒丰、双王、雄鹰、方兴七大龙头企业支撑大部分产能与外贸体量；汽配领域则由凯福瑞、宝泰制动、信义等专精特新企业深耕制动、传动细分赛道。大企业与中小企业错位发展，形成了较为稳定的层级分工与配套网络。合理的分工体系，是集群内部形成合力而非内耗的重要制度保障。</w:t>
      </w:r>
    </w:p>
    <w:p>
      <w:pPr>
        <w:spacing w:lineRule="exact" w:line="600" w:after="0"/>
        <w:ind w:firstLine="420"/>
      </w:pPr>
      <w:r>
        <w:rPr>
          <w:rFonts w:ascii="仿宋_GB2312" w:hAnsi="仿宋_GB2312" w:eastAsia="仿宋_GB2312"/>
          <w:b w:val="0"/>
          <w:sz w:val="32"/>
        </w:rPr>
        <w:t>从空间分工看，广饶经济开发区与大王经济开发区是主要承载地，大王镇以橡胶与造纸产业底蕴集聚轮胎及汽配企业，形成西水工业区等专业化片区。各镇街围绕主导产业差异化布局，避免同质化竞争。需重点关注，集群通过链长制统筹，推动企业间由单打独斗转向集群作战，分工协作效率显著提升，整体协同优势进一步凸显。分工深化将进一步提升中小企业融入龙头配套体系的便利度。</w:t>
      </w:r>
    </w:p>
    <w:p>
      <w:pPr>
        <w:spacing w:lineRule="exact" w:line="600" w:after="0"/>
        <w:ind w:firstLine="420"/>
      </w:pPr>
      <w:r>
        <w:rPr>
          <w:rFonts w:ascii="仿宋_GB2312" w:hAnsi="仿宋_GB2312" w:eastAsia="仿宋_GB2312"/>
          <w:b w:val="0"/>
          <w:sz w:val="32"/>
        </w:rPr>
        <w:t>从环节分工看，龙头企业聚焦整车配套与规模制造，中小企业专注制动片、传动轴、轮毂、钢帘线等配套件与细分市场，形成大中小企业融通的分工网络。检测认证、联合出海等公共服务由平台统一提供，降低了中小企业门槛。总体看，集群分工体系成熟，是本地配套率达75%的重要支撑，也是抵御外部冲击的韧性来源。合理的分工体系，是集群内部形成合力而非内耗的重要制度保障。</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结构。顶端为金宇、永盛等年营收数十亿级的轮胎龙头，永盛橡胶拥有六千余名产业工人、年产全钢胎600万套与半钢胎2000万套；中部为凯福瑞、宝泰制动等年产能百万至千万套级的中型专精特新企业；基座为大量配套中小企业。总体看，大企业撑规模、中小企业补配套的格局稳定且富有活力。规模结构的优化，有助于增强集群整体对外部周期波动的承受能力。</w:t>
      </w:r>
    </w:p>
    <w:p>
      <w:pPr>
        <w:spacing w:lineRule="exact" w:line="600" w:after="0"/>
        <w:ind w:firstLine="420"/>
      </w:pPr>
      <w:r>
        <w:rPr>
          <w:rFonts w:ascii="仿宋_GB2312" w:hAnsi="仿宋_GB2312" w:eastAsia="仿宋_GB2312"/>
          <w:b w:val="0"/>
          <w:sz w:val="32"/>
        </w:rPr>
        <w:t>从数量结构看，据行业普遍水平初步估算，集群内汽车零部件相关企业达数百家，其中轮胎企业约数十家、汽配及配套企业占多数。2025年广饶县提出新增四上企业180家以上、十亿级企业10家以上的目标，反映出企业梯队持续壮大。需重点关注，中小企业占比高但单体规模偏小，规模结构有待进一步优化升级。推动中小企业上规模、上水平，是梯队建设的长期任务。</w:t>
      </w:r>
    </w:p>
    <w:p>
      <w:pPr>
        <w:spacing w:lineRule="exact" w:line="600" w:after="0"/>
        <w:ind w:firstLine="420"/>
      </w:pPr>
      <w:r>
        <w:rPr>
          <w:rFonts w:ascii="仿宋_GB2312" w:hAnsi="仿宋_GB2312" w:eastAsia="仿宋_GB2312"/>
          <w:b w:val="0"/>
          <w:sz w:val="32"/>
        </w:rPr>
        <w:t>从成长结构看，集群内已涌现一批国家级高新技术企业、省级专精特新小巨人与单项冠军企业，如宝泰制动为国家级高新技术企业、山东省专精特新中小企业。这类高成长企业是规模结构向专精特新升级的关键力量。总体看，集群规模结构正从以大为尊向大中小融通、专精特新高成长演进，成长质量稳步改善。规模结构的优化，有助于增强集群整体对外部周期波动的承受能力。</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企业为主体，产权结构呈现高度市场化特征。金宇、永盛、兴源、恒丰等轮胎龙头均为民营控股，凯福瑞、宝泰制动等汽配骨干亦为民营资本主导，市场机制在资源配置中起决定性作用。总体看，民营主导的产权结构赋予集群灵活的决策与较强的市场敏锐度，利于快速响应需求变化。清晰的产权安排，为集群引入外部资本与现代化治理创造了条件。</w:t>
      </w:r>
    </w:p>
    <w:p>
      <w:pPr>
        <w:spacing w:lineRule="exact" w:line="600" w:after="0"/>
        <w:ind w:firstLine="420"/>
      </w:pPr>
      <w:r>
        <w:rPr>
          <w:rFonts w:ascii="仿宋_GB2312" w:hAnsi="仿宋_GB2312" w:eastAsia="仿宋_GB2312"/>
          <w:b w:val="0"/>
          <w:sz w:val="32"/>
        </w:rPr>
        <w:t>在混合所有制方面，部分企业通过引入战略投资、股份制改造提升治理水平，如金宇轮胎集团有限公司于2010年完成集团化改制，并推进海外基地的属地化运营。国有资本主要集中于园区基础设施、公共服务平台等准公共领域，不直接介入制造环节竞争。需重点关注，民营为主的产权结构也带来融资约束，需借助政策工具予以缓解。民营活力的保持与规范引导，需坚持放管结合、疏堵并举。</w:t>
      </w:r>
    </w:p>
    <w:p>
      <w:pPr>
        <w:spacing w:lineRule="exact" w:line="600" w:after="0"/>
        <w:ind w:firstLine="420"/>
      </w:pPr>
      <w:r>
        <w:rPr>
          <w:rFonts w:ascii="仿宋_GB2312" w:hAnsi="仿宋_GB2312" w:eastAsia="仿宋_GB2312"/>
          <w:b w:val="0"/>
          <w:sz w:val="32"/>
        </w:rPr>
        <w:t>从资本来源看，集群企业原始资本多源于本土民营积累，近年来逐步引入产业基金、银行信贷与股权融资。海外布局如金宇越南基地体现了民营资本的全球化配置。总体看，产权结构清晰、民营活力充沛，是集群快速响应市场的重要制度基础，但需进一步完善现代企业制度以支撑高端化、国际化转型。清晰的产权安排，为集群引入外部资本与现代化治理创造了条件。</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轮胎板块头部企业以广饶七雄为代表。金宇轮胎始创于1995年，稳居全球轮胎75强前列，在越南建有生产基地，旗下金宇、金路、黑狮等多梯度品牌覆盖国内外市场；永盛橡胶为老牌头部企业，全钢加半钢双赛道生产，入选山东省化工产业智能化改造标杆；兴源轮胎全钢载重子午胎年产能超536万套，与一汽、二汽等建立战略合作。头部企业的示范效应，对中小企业技术与管理升级具有牵引作用。</w:t>
      </w:r>
    </w:p>
    <w:p>
      <w:pPr>
        <w:spacing w:lineRule="exact" w:line="600" w:after="0"/>
        <w:ind w:firstLine="420"/>
      </w:pPr>
      <w:r>
        <w:rPr>
          <w:rFonts w:ascii="仿宋_GB2312" w:hAnsi="仿宋_GB2312" w:eastAsia="仿宋_GB2312"/>
          <w:b w:val="0"/>
          <w:sz w:val="32"/>
        </w:rPr>
        <w:t>汽配板块头部企业特色鲜明。山东凯福瑞汽车配件有限公司成立于2000年，专业生产球笼式等速万向节传动轴总成，年产能300万套，产品为大众、长城、比亚迪等配套并出口欧美中东；山东宝泰制动系统有限公司为国家级高新技术企业、省专精特新中小企业，其碳陶瓷无铜环保刹车片出口占总产能90%以上，获美国NSF认证。信义集团为汽车配件领域老牌骨干。</w:t>
      </w:r>
    </w:p>
    <w:p>
      <w:pPr>
        <w:spacing w:lineRule="exact" w:line="600" w:after="0"/>
        <w:ind w:firstLine="420"/>
      </w:pPr>
      <w:r>
        <w:rPr>
          <w:rFonts w:ascii="仿宋_GB2312" w:hAnsi="仿宋_GB2312" w:eastAsia="仿宋_GB2312"/>
          <w:b w:val="0"/>
          <w:sz w:val="32"/>
        </w:rPr>
        <w:t>总体看，头部企业是集群竞争力核心载体。轮胎龙头以规模、品牌与出海能力构筑壁垒，汽配龙头以细分赛道专精特新属性形成差异化优势。恒丰橡塑、双王、雄鹰、方兴等企业共同支撑轮胎产能。需重点关注，头部企业正加速智能化改造（如永盛工业4.0智能工厂核心装备数控化率超95%），引领集群向高端智造跃迁。巩固头部优势与培育后备梯队，应作为企业政策的双重着力点。</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地理集聚于广饶经济开发区、大王经济开发区及西水工业区等片区，形成20公里配套圈，本地配套率达75%。这种紧凑集聚使上下游企业能在极短半径内完成协作，显著降低物流与沟通成本，是集群效率优势的空间基础，也是其他县域难以复制的先天条件。集聚红利的释放程度，取决于公共服务与协同机制的建设水平。在集聚中化解负外部性，是集群可持续发展的现实要求。</w:t>
      </w:r>
    </w:p>
    <w:p>
      <w:pPr>
        <w:spacing w:lineRule="exact" w:line="600" w:after="0"/>
        <w:ind w:firstLine="420"/>
      </w:pPr>
      <w:r>
        <w:rPr>
          <w:rFonts w:ascii="仿宋_GB2312" w:hAnsi="仿宋_GB2312" w:eastAsia="仿宋_GB2312"/>
          <w:b w:val="0"/>
          <w:sz w:val="32"/>
        </w:rPr>
        <w:t>从关联集聚看，企业围绕轮胎与汽配形成纵向配套与横向关联并存的网络。轮胎企业与钢丝帘线、炭黑、助剂供应商邻近布局；制动、传动、轮毂企业与轮胎企业共享检测、认证与出海平台。这种链群共生特征使集群超越简单企业扎堆，演化为有机产业生态。需重点关注，紧凑集聚也带来环保与能耗压力，需统筹绿色转型。集聚红利的释放程度，取决于公共服务与协同机制的建设水平。</w:t>
      </w:r>
    </w:p>
    <w:p>
      <w:pPr>
        <w:spacing w:lineRule="exact" w:line="600" w:after="0"/>
        <w:ind w:firstLine="420"/>
      </w:pPr>
      <w:r>
        <w:rPr>
          <w:rFonts w:ascii="仿宋_GB2312" w:hAnsi="仿宋_GB2312" w:eastAsia="仿宋_GB2312"/>
          <w:b w:val="0"/>
          <w:sz w:val="32"/>
        </w:rPr>
        <w:t>总体看，集群集聚特征体现为专业化片区加紧凑配套圈加平台共享三位一体。企业既享受集聚带来的成本与知识外溢红利，也面临同质竞争与环保约束。未来需通过差异化定位与公共服务升级，巩固集聚正向效应、化解负外部性，使集聚优势转化为长期可持续的竞争力。在集聚中化解负外部性，是集群可持续发展的现实要求。集聚红利的释放程度，取决于公共服务与协同机制的建设水平。</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导。永盛橡胶、金宇轮胎等头部企业持续投入智能化改造与新产品研发，永盛智能工厂引入182台（套）智能设备，华盛橡胶与华南理工大学共建联合实验室攻关新能源轮胎技术。据公开报道，骨干企业研发投入强度高于县域工业平均水平，但中小企业整体投入仍偏低，结构不均衡。研发投入强度的整体抬升，是集群迈向创新驱动的必经之路。</w:t>
      </w:r>
    </w:p>
    <w:p>
      <w:pPr>
        <w:spacing w:lineRule="exact" w:line="600" w:after="0"/>
        <w:ind w:firstLine="420"/>
      </w:pPr>
      <w:r>
        <w:rPr>
          <w:rFonts w:ascii="仿宋_GB2312" w:hAnsi="仿宋_GB2312" w:eastAsia="仿宋_GB2312"/>
          <w:b w:val="0"/>
          <w:sz w:val="32"/>
        </w:rPr>
        <w:t>从投入方向看，研发资金主要流向智能制造（AI视觉检测、智能物流）、绿色配方（无铜刹车片、低滚阻轮胎）与新能源适配（记忆橡胶轮胎）三大领域。宝泰制动持续迭代碳陶瓷无铜配方，研发支出占营收比重在专精特新企业中居前。初步估算，集群研发总投入呈逐年增长态势，但占营收比例与一线国际企业尚有可量化的差距。引导中小企业把有限资金投向关键工艺，能显著提升投入产出比。</w:t>
      </w:r>
    </w:p>
    <w:p>
      <w:pPr>
        <w:spacing w:lineRule="exact" w:line="600" w:after="0"/>
        <w:ind w:firstLine="420"/>
      </w:pPr>
      <w:r>
        <w:rPr>
          <w:rFonts w:ascii="仿宋_GB2312" w:hAnsi="仿宋_GB2312" w:eastAsia="仿宋_GB2312"/>
          <w:b w:val="0"/>
          <w:sz w:val="32"/>
        </w:rPr>
        <w:t>总体看，集群研发投入呈现龙头引领、专精特新跟进、中小企业薄弱的梯次格局。政府通过智改数转政策引导企业加大技改投入，2025年实施的机电汽配项目总投资8.3亿元中相当部分属于研发与设备更新。未来需完善研发投入激励，提升中小企业创新能力，缩小梯队间投入差距。研发投入强度的整体抬升，是集群迈向创新驱动的必经之路。</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效显著。在轮胎领域，华盛橡胶联合科研院所攻关的新能源轮胎静音耐磨技术已实现产品化，适应电动车高承载、低滚阻、静音需求；记忆橡胶轮胎可自适应路况、快速恢复真圆度，已实现油电通用并批量供应。在汽配领域，宝泰制动的碳陶瓷无铜配方产品连续5年各级抽检合格率100%，获美国NSF认证。创新成果的持续产出，正在重塑集群产品的市场竞争力图谱。</w:t>
      </w:r>
    </w:p>
    <w:p>
      <w:pPr>
        <w:spacing w:lineRule="exact" w:line="600" w:after="0"/>
        <w:ind w:firstLine="420"/>
      </w:pPr>
      <w:r>
        <w:rPr>
          <w:rFonts w:ascii="仿宋_GB2312" w:hAnsi="仿宋_GB2312" w:eastAsia="仿宋_GB2312"/>
          <w:b w:val="0"/>
          <w:sz w:val="32"/>
        </w:rPr>
        <w:t>从效率提升看，AI视觉检测系统使单条轮胎检测时间由8分钟降至4分钟，班产量由约500条提升至800条，合格率由99.3%升至99.8%，客户满意度由80%升至95%以上。这些工艺创新直接转化为质量与效率红利，是集群创新产出的典型体现。需重点关注，创新正从单点突破向全产业链渗透，带动整体能级跃升。把产出优势转化为标准与专利优势，是下一阶段的攻坚重点。</w:t>
      </w:r>
    </w:p>
    <w:p>
      <w:pPr>
        <w:spacing w:lineRule="exact" w:line="600" w:after="0"/>
        <w:ind w:firstLine="420"/>
      </w:pPr>
      <w:r>
        <w:rPr>
          <w:rFonts w:ascii="仿宋_GB2312" w:hAnsi="仿宋_GB2312" w:eastAsia="仿宋_GB2312"/>
          <w:b w:val="0"/>
          <w:sz w:val="32"/>
        </w:rPr>
        <w:t>总体看，集群创新产出以绿色化、智能化、新能源适配为主线索，形成了可量化的质量与效率提升。但原创性、引领性技术储备仍不足，多数成果属改进型创新。未来需加强基础研究与应用转化衔接，提升创新产出的层级与壁垒，避免长期停留在渐进式改进阶段。创新成果的持续产出，正在重塑集群产品的市场竞争力图谱。把产出优势转化为标准与专利优势，是下一阶段的攻坚重点。</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已搭建多层次创新平台。青岛科技大学广饶橡胶工业研究院是核心产学研平台，已推动14项技术成果在本地转化；华盛橡胶与华南理工大学共建联合实验室，聚焦新能源轮胎材料。此外，广饶县橡胶轮胎产品与材料质量检验中心提供CNAS、SASO互认检测服务，是企业研发验证的重要公共支撑，降低了中小企业创新门槛。平台能级的高低，直接关系中小企业能否低门槛获取创新资源。</w:t>
      </w:r>
    </w:p>
    <w:p>
      <w:pPr>
        <w:spacing w:lineRule="exact" w:line="600" w:after="0"/>
        <w:ind w:firstLine="420"/>
      </w:pPr>
      <w:r>
        <w:rPr>
          <w:rFonts w:ascii="仿宋_GB2312" w:hAnsi="仿宋_GB2312" w:eastAsia="仿宋_GB2312"/>
          <w:b w:val="0"/>
          <w:sz w:val="32"/>
        </w:rPr>
        <w:t>从数字化平台看，集群依托产业大脑实现供应链数据共享，企业可据此优化排产与库存；部分龙头企业自建智能制造实验室与研发中心，如永盛橡胶成型车间的数据化管控体系。需重点关注，平台资源向中小企业溢出仍不充分，公共平台的使用效率与覆盖面有待进一步提升，普惠性创新支撑尚需加强。推动平台互联与数据互通，可进一步放大公共创新的乘数效应。</w:t>
      </w:r>
    </w:p>
    <w:p>
      <w:pPr>
        <w:spacing w:lineRule="exact" w:line="600" w:after="0"/>
        <w:ind w:firstLine="420"/>
      </w:pPr>
      <w:r>
        <w:rPr>
          <w:rFonts w:ascii="仿宋_GB2312" w:hAnsi="仿宋_GB2312" w:eastAsia="仿宋_GB2312"/>
          <w:b w:val="0"/>
          <w:sz w:val="32"/>
        </w:rPr>
        <w:t>总体看，集群创新平台涵盖高校研究院、企业联合实验室与公共检测中心三类，基本满足研发与中试需求。但平台间协同、成果本地转化通道仍需强化。未来应推动平台向中小企业开放，构建研发、中试、量产贯通的创新支撑网络，放大公共平台的正向溢出效应。平台能级的高低，直接关系中小企业能否低门槛获取创新资源。推动平台互联与数据互通，可进一步放大公共创新的乘数效应。</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能力较强，体现为实验室到产线快速贯通。宝泰制动完成无铜刹车片从实验室研发到规模化量产的全链条转化，产品覆盖乘用车与商用车多种车型；凯福瑞实现等速驱动轴从锻造到成品全过程自主加工，缩短转化周期。这种转化效率使集群能快速响应整车厂改配方、调结构的定制需求。转化效率的提升，使集群能够更迅速地把握细分市场的窗口机遇。</w:t>
      </w:r>
    </w:p>
    <w:p>
      <w:pPr>
        <w:spacing w:lineRule="exact" w:line="600" w:after="0"/>
        <w:ind w:firstLine="420"/>
      </w:pPr>
      <w:r>
        <w:rPr>
          <w:rFonts w:ascii="仿宋_GB2312" w:hAnsi="仿宋_GB2312" w:eastAsia="仿宋_GB2312"/>
          <w:b w:val="0"/>
          <w:sz w:val="32"/>
        </w:rPr>
        <w:t>从转化机制看，产学研协同是主渠道。青岛科技大学广饶橡胶工业研究院的14项技术成果落地，华南理工与华盛联合实验室的新能源轮胎技术产业化，均以企业出题、院校答题、本地转化模式运行。需重点关注，部分中小企业缺乏中试能力，转化仍依赖龙头带动，普惠性转化机制需加快健全完善。健全中试与工程化服务，是补齐转化短板的有效着力点。</w:t>
      </w:r>
    </w:p>
    <w:p>
      <w:pPr>
        <w:spacing w:lineRule="exact" w:line="600" w:after="0"/>
        <w:ind w:firstLine="420"/>
      </w:pPr>
      <w:r>
        <w:rPr>
          <w:rFonts w:ascii="仿宋_GB2312" w:hAnsi="仿宋_GB2312" w:eastAsia="仿宋_GB2312"/>
          <w:b w:val="0"/>
          <w:sz w:val="32"/>
        </w:rPr>
        <w:t>总体看，集群技术转化以龙头企业牵引、公共平台支撑为特征，转化周期显著短于行业平均。但中小企业承接转化能力弱、共性中试平台不足，制约了转化红利的广泛共享。未来应建设共享中试基地，提升整体转化效率，让更多中小企业分享技术进步收益。转化效率的提升，使集群能够更迅速地把握细分市场的窗口机遇。健全中试与工程化服务，是补齐转化短板的有效着力点。</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以本地产业工人为主，广饶县人口数十万，产业工人规模庞大。永盛橡胶拥有六千余名产业工人，兴源轮胎职工2600余人、专业技术研发团队四百余人，反映出集群对技能劳动力的强吸纳能力。总体看，县域劳动力基数有力支撑了制造环节的规模化用工需求。劳动力素质的整体改善，是支撑智改数转落地的人力基础。完善技能培训与薪酬激励，有助于稳定产业工人队伍。</w:t>
      </w:r>
    </w:p>
    <w:p>
      <w:pPr>
        <w:spacing w:lineRule="exact" w:line="600" w:after="0"/>
        <w:ind w:firstLine="420"/>
      </w:pPr>
      <w:r>
        <w:rPr>
          <w:rFonts w:ascii="仿宋_GB2312" w:hAnsi="仿宋_GB2312" w:eastAsia="仿宋_GB2312"/>
          <w:b w:val="0"/>
          <w:sz w:val="32"/>
        </w:rPr>
        <w:t>从技能结构看，集群既需要密炼、成型、硫化等工艺技工，也需要自动化运维、AI检测等新型技能人才。随着智改数转推进，传统岗位需求下降、技术岗位需求上升，企业正通过岗位练兵、技能竞赛培育新型产业工人。需重点关注，高端研发与复合型人才仍显不足，人才引留面临区域竞争压力。劳动力素质的整体改善，是支撑智改数转落地的人力基础。</w:t>
      </w:r>
    </w:p>
    <w:p>
      <w:pPr>
        <w:spacing w:lineRule="exact" w:line="600" w:after="0"/>
        <w:ind w:firstLine="420"/>
      </w:pPr>
      <w:r>
        <w:rPr>
          <w:rFonts w:ascii="仿宋_GB2312" w:hAnsi="仿宋_GB2312" w:eastAsia="仿宋_GB2312"/>
          <w:b w:val="0"/>
          <w:sz w:val="32"/>
        </w:rPr>
        <w:t>从用工成本看，据行业普遍水平初步估算，一线操作工月薪普遍在4500元至10000元之间，技术管理岗可达15000元，部分企业提供免费食宿与五险。相对合理的人力成本构成集群竞争优势，但技能人才短缺可能推高用工成本。总体看，劳动力要素总体充裕但结构性矛盾突出，需配套职教体系。完善技能培训与薪酬激励，有助于稳定产业工人队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民营自有资金与银行信贷为主。头部企业凭借规模与信用获得较低成本融资，中小企业则更多依赖民间借贷与短期信贷，融资渠道相对单一。2025年广饶县提出强化雁阵型企业梯度培育、新增十亿级企业10家以上，反映出资本向优势企业集中的趋势。需重点关注，中小企业融资难仍是制约要素。资本要素的配置效率，在很大程度上决定了集群升级的速度。</w:t>
      </w:r>
    </w:p>
    <w:p>
      <w:pPr>
        <w:spacing w:lineRule="exact" w:line="600" w:after="0"/>
        <w:ind w:firstLine="420"/>
      </w:pPr>
      <w:r>
        <w:rPr>
          <w:rFonts w:ascii="仿宋_GB2312" w:hAnsi="仿宋_GB2312" w:eastAsia="仿宋_GB2312"/>
          <w:b w:val="0"/>
          <w:sz w:val="32"/>
        </w:rPr>
        <w:t>从资本投向看，资金主要流向智能化改造、产能扩张与海外布局。永盛智能工厂、金宇越南基地等重大项目投资规模大，政府通过产业基金、技改补贴予以引导。锂电、储能等新兴产业亦吸引资本进入，初步估算集群年度工业投资达百亿元级。总体看，资本要素活跃但配置不均衡，需优化投向结构。拓宽直接融资渠道，可为专精特新企业释放更大的成长空间。</w:t>
      </w:r>
    </w:p>
    <w:p>
      <w:pPr>
        <w:spacing w:lineRule="exact" w:line="600" w:after="0"/>
        <w:ind w:firstLine="420"/>
      </w:pPr>
      <w:r>
        <w:rPr>
          <w:rFonts w:ascii="仿宋_GB2312" w:hAnsi="仿宋_GB2312" w:eastAsia="仿宋_GB2312"/>
          <w:b w:val="0"/>
          <w:sz w:val="32"/>
        </w:rPr>
        <w:t>总体看，集群资本要素呈民间主导、信贷支撑、政策引导特征。直接融资比重偏低，股权融资与产业基金作用有待加强。未来需完善多层次融资体系，缓解中小企业资本约束，支撑高端化投入，避免优质专精特新企业因资金瓶颈而错失升级窗口。资本要素的配置效率，在很大程度上决定了集群升级的速度。拓宽直接融资渠道，可为专精特新企业释放更大的成长空间。</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载体以广饶经济开发区、大王经济开发区为主，园区经过多轮扩区提升承载空间。但随着产能扩张与环保约束趋紧，新增工业用地与能耗指标日益稀缺。橡胶轮胎属能耗相对较高行业，在双碳目标下，单位能耗产出成为关键约束。需重点关注，土地与能耗刚性约束倒逼集群向集约绿色转型。在约束条件下求发展，倒逼集群走出集约高效的绿色新路。</w:t>
      </w:r>
    </w:p>
    <w:p>
      <w:pPr>
        <w:spacing w:lineRule="exact" w:line="600" w:after="0"/>
        <w:ind w:firstLine="420"/>
      </w:pPr>
      <w:r>
        <w:rPr>
          <w:rFonts w:ascii="仿宋_GB2312" w:hAnsi="仿宋_GB2312" w:eastAsia="仿宋_GB2312"/>
          <w:b w:val="0"/>
          <w:sz w:val="32"/>
        </w:rPr>
        <w:t>从能耗表现看，集群通过智改数转显著降低单位产品能耗，永盛黑灯工厂24小时运转却无需大规模照明，智能物流系统减少无效搬运。但整体能耗总量仍随产能增长而上升，节能降碳压力持续存在。据行业普遍水平初步估算，集群单位产值能耗呈下降趋势，但距先进标杆仍有可提升的空间。能耗强度的稳步下降，是衡量转型成色的重要标尺之一。</w:t>
      </w:r>
    </w:p>
    <w:p>
      <w:pPr>
        <w:spacing w:lineRule="exact" w:line="600" w:after="0"/>
        <w:ind w:firstLine="420"/>
      </w:pPr>
      <w:r>
        <w:rPr>
          <w:rFonts w:ascii="仿宋_GB2312" w:hAnsi="仿宋_GB2312" w:eastAsia="仿宋_GB2312"/>
          <w:b w:val="0"/>
          <w:sz w:val="32"/>
        </w:rPr>
        <w:t>总体看，土地能耗是集群高端化扩张的硬约束。未来需通过存量盘活、集约用地与节能技改，提升要素产出效率，在约束条件下实现规模与质量的平衡，以更少的资源消耗支撑更高质量的增长，夯实绿色低碳发展基础。在约束条件下求发展，倒逼集群走出集约高效的绿色新路。能耗强度的稳步下降，是衡量转型成色的重要标尺之一。在约束条件下求发展，倒逼集群走出集约高效的绿色新路。</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橡胶、钢丝帘线、炭黑、橡胶助剂为主。广饶本地不产天然橡胶，原料高度依赖进口与省外采购，合成橡胶部分由本地及周边石化产业供应。这种无原料依托、靠制造立群的特征，使集群对原材料价格波动较为敏感。需重点关注，保障原料稳定供应是产业链安全的关键环节。原材料保障能力的增强，是集群产业链安全的重要压舱石。原材料保障能力的增强，是集群产业链安全的重要压舱石。</w:t>
      </w:r>
    </w:p>
    <w:p>
      <w:pPr>
        <w:spacing w:lineRule="exact" w:line="600" w:after="0"/>
        <w:ind w:firstLine="420"/>
      </w:pPr>
      <w:r>
        <w:rPr>
          <w:rFonts w:ascii="仿宋_GB2312" w:hAnsi="仿宋_GB2312" w:eastAsia="仿宋_GB2312"/>
          <w:b w:val="0"/>
          <w:sz w:val="32"/>
        </w:rPr>
        <w:t>从料本地配套看，集群已集聚钢丝帘线、炭黑、助剂等配套企业，形成20公里配套圈，但高端特种橡胶、部分汽车电子元器件仍依赖外部。2025年广饶县提出向炼化一体、高端精细方向发展，有望提升合成橡胶本地供给能力。总体看，原材料禀赋先天不足，但通过后道配套与物流网络有效弥补。多元化供给布局，有助于平抑国际原料价格大幅波动的冲击。</w:t>
      </w:r>
    </w:p>
    <w:p>
      <w:pPr>
        <w:spacing w:lineRule="exact" w:line="600" w:after="0"/>
        <w:ind w:firstLine="420"/>
      </w:pPr>
      <w:r>
        <w:rPr>
          <w:rFonts w:ascii="仿宋_GB2312" w:hAnsi="仿宋_GB2312" w:eastAsia="仿宋_GB2312"/>
          <w:b w:val="0"/>
          <w:sz w:val="32"/>
        </w:rPr>
        <w:t>总体看，集群原材料资源依赖外部输入，本地优势在于完善的加工配套与港口物流。未来需通过长协采购、原料基地合作与替代材料研发，降低对外依存风险，稳固供应链韧性，在复杂国际环境下守住产业链安全底线。原材料保障能力的增强，是集群产业链安全的重要压舱石。多元化供给布局，有助于平抑国际原料价格大幅波动的冲击。原材料保障能力的增强，是集群产业链安全的重要压舱石。</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在国内市场，集群轮胎产品覆盖商用车与乘用车全谱系，金宇、永盛等品牌在国内商用车胎市场占有重要地位；汽配产品为大众、长城、比亚迪、一汽、二汽等主机厂配套，凯福瑞传动轴销售网络覆盖全国30多个省市区。总体看，集群在国内已建立稳定的配套与渠道体系。国内大循环的纵深拓展，为集群提供了稳定的需求基本盘。提升内销产品层次，是应对外需波动的重要缓冲手段。</w:t>
      </w:r>
    </w:p>
    <w:p>
      <w:pPr>
        <w:spacing w:lineRule="exact" w:line="600" w:after="0"/>
        <w:ind w:firstLine="420"/>
      </w:pPr>
      <w:r>
        <w:rPr>
          <w:rFonts w:ascii="仿宋_GB2312" w:hAnsi="仿宋_GB2312" w:eastAsia="仿宋_GB2312"/>
          <w:b w:val="0"/>
          <w:sz w:val="32"/>
        </w:rPr>
        <w:t>从需求结构看，国内汽车产销规模庞大，新能源车爆发式增长带来轮胎与制动件增量需求。集群紧抓新能源配套机遇，研发适配产品。需重点关注，国内市场竞争激烈、价格承压，企业正从卷价格转向卷性价比与卷技术，以质量与品牌巩固内销份额，避免陷入低价内卷。国内大循环的纵深拓展，为集群提供了稳定的需求基本盘。提升内销产品层次，是应对外需波动的重要缓冲手段。</w:t>
      </w:r>
    </w:p>
    <w:p>
      <w:pPr>
        <w:spacing w:lineRule="exact" w:line="600" w:after="0"/>
        <w:ind w:firstLine="420"/>
      </w:pPr>
      <w:r>
        <w:rPr>
          <w:rFonts w:ascii="仿宋_GB2312" w:hAnsi="仿宋_GB2312" w:eastAsia="仿宋_GB2312"/>
          <w:b w:val="0"/>
          <w:sz w:val="32"/>
        </w:rPr>
        <w:t>总体看，国内市场是集群基本盘，主机厂配套与后市场并举。但随着内需增速放缓，集群增长愈发依赖外贸与高端突破。未来需深化与整车厂协同开发，提升内销产品附加值，增强在内循环中的嵌入深度与不可替代性。国内大循环的纵深拓展，为集群提供了稳定的需求基本盘。提升内销产品层次，是应对外需波动的重要缓冲手段。国内大循环的纵深拓展，为集群提供了稳定的需求基本盘。</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是集群最突出优势。2025年广饶县橡胶轮胎出口额243.7亿元，占全国15.1%、全省26.6%，出口率达86.6%，产品远销180多个国家和地区，其中拉丁美洲市场同比增长9.8%。轮胎及其相关产品出口到200多个国家和地区。总体看，集群出口依存度高、国际市场份额突出。出口结构的优化，比单纯规模扩张更关乎长期效益与安全。</w:t>
      </w:r>
    </w:p>
    <w:p>
      <w:pPr>
        <w:spacing w:lineRule="exact" w:line="600" w:after="0"/>
        <w:ind w:firstLine="420"/>
      </w:pPr>
      <w:r>
        <w:rPr>
          <w:rFonts w:ascii="仿宋_GB2312" w:hAnsi="仿宋_GB2312" w:eastAsia="仿宋_GB2312"/>
          <w:b w:val="0"/>
          <w:sz w:val="32"/>
        </w:rPr>
        <w:t>汽配出口增长迅猛。宝泰制动无铜环保刹车片出口占总产能90%以上，主要销往北美并拓展欧盟；凯福瑞传动轴出口欧美、中东。展会层面，第16届中国广饶国际橡胶轮胎暨汽车配件展览会吸引70余国采购商、到会观众超15万人次。需重点关注，出口高度集中使其易受贸易壁垒与汇率波动冲击。加快海外节点布局，可有效降低单一市场依赖带来的脆弱性。</w:t>
      </w:r>
    </w:p>
    <w:p>
      <w:pPr>
        <w:spacing w:lineRule="exact" w:line="600" w:after="0"/>
        <w:ind w:firstLine="420"/>
      </w:pPr>
      <w:r>
        <w:rPr>
          <w:rFonts w:ascii="仿宋_GB2312" w:hAnsi="仿宋_GB2312" w:eastAsia="仿宋_GB2312"/>
          <w:b w:val="0"/>
          <w:sz w:val="32"/>
        </w:rPr>
        <w:t>总体看，集群外向度极高，出口是规模与效益的核心支撑。但高出口依存也意味着外部风险敞口大。未来需拓展多元市场、建设海外仓与属地化产能，分散单一市场风险，以更稳健的国际布局支撑集群长期可持续发展。出口结构的优化，比单纯规模扩张更关乎长期效益与安全。加快海外节点布局，可有效降低单一市场依赖带来的脆弱性。出口结构的优化，比单纯规模扩张更关乎长期效益与安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轮胎为主。金宇、金路、黑狮、永盛、兴源等自主品牌在国内国际具有一定影响力，信义、镁卡产品被认定为山东名牌产品、优质产品。金宇越南基地以多梯度品牌兼顾国内商用车刚需与海外中高端市场，体现品牌出海策略。总体看，品牌矩阵初具雏形。品牌价值的积累，是集群从产品竞争走向价值竞争的标志。以质量与信誉夯实品牌，方能获得持续的国际市场话语权。</w:t>
      </w:r>
    </w:p>
    <w:p>
      <w:pPr>
        <w:spacing w:lineRule="exact" w:line="600" w:after="0"/>
        <w:ind w:firstLine="420"/>
      </w:pPr>
      <w:r>
        <w:rPr>
          <w:rFonts w:ascii="仿宋_GB2312" w:hAnsi="仿宋_GB2312" w:eastAsia="仿宋_GB2312"/>
          <w:b w:val="0"/>
          <w:sz w:val="32"/>
        </w:rPr>
        <w:t>从品牌层级看，多数自主品牌仍定位于性价比与专业配套，高端乘用车胎与特种胎领域的国际品牌溢价不足。汽配领域宝泰制动以无铜环保细分标签建立差异化认知，但整体品牌国际知名度有限。需重点关注，集群正通过国际展会（如广饶轮胎展）与标准输出提升品牌话语权。品牌价值的积累，是集群从产品竞争走向价值竞争的标志。以质量与信誉夯实品牌，方能获得持续的国际市场话语权。</w:t>
      </w:r>
    </w:p>
    <w:p>
      <w:pPr>
        <w:spacing w:lineRule="exact" w:line="600" w:after="0"/>
        <w:ind w:firstLine="420"/>
      </w:pPr>
      <w:r>
        <w:rPr>
          <w:rFonts w:ascii="仿宋_GB2312" w:hAnsi="仿宋_GB2312" w:eastAsia="仿宋_GB2312"/>
          <w:b w:val="0"/>
          <w:sz w:val="32"/>
        </w:rPr>
        <w:t>总体看，集群品牌处于国内知名、国际跟进阶段。未来需实施品牌梯次培育，支持龙头打造全球品牌、专精特新打造细分冠军品牌，提升品牌对价值的捕获能力，推动由产品输出向品牌输出跨越。品牌价值的积累，是集群从产品竞争走向价值竞争的标志。以质量与信誉夯实品牌，方能获得持续的国际市场话语权。品牌价值的积累，是集群从产品竞争走向价值竞争的标志。</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经历深刻变化。新能源车自重更大、对续航静音承载要求更高，推动轮胎向低滚阻、高耐磨、静音舒适升级；欧美环保法规趋严（如制动件重金属限制）催生无铜刹车片等绿色需求。集群紧抓变化，研发记忆橡胶轮胎与碳陶瓷无铜配方，快速适配新需求。把握需求演变节奏，是集群保持市场敏感度的核心能力。前置研发布局，可使集群在需求转换中抢占先发优势。</w:t>
      </w:r>
    </w:p>
    <w:p>
      <w:pPr>
        <w:spacing w:lineRule="exact" w:line="600" w:after="0"/>
        <w:ind w:firstLine="420"/>
      </w:pPr>
      <w:r>
        <w:rPr>
          <w:rFonts w:ascii="仿宋_GB2312" w:hAnsi="仿宋_GB2312" w:eastAsia="仿宋_GB2312"/>
          <w:b w:val="0"/>
          <w:sz w:val="32"/>
        </w:rPr>
        <w:t>从需求地域看，拉美、东南亚等新兴市场增长较快，拉美市场轮胎出口同比增长9.8%；欧美高端市场对绿色、认证产品需求刚性。需重点关注，需求升级对研发响应速度提出更高要求，集群依托产业链协同可将改配方周期压缩至欧洲同行的三分之一，敏捷优势明显。把握需求演变节奏，是集群保持市场敏感度的核心能力。前置研发布局，可使集群在需求转换中抢占先发优势。</w:t>
      </w:r>
    </w:p>
    <w:p>
      <w:pPr>
        <w:spacing w:lineRule="exact" w:line="600" w:after="0"/>
        <w:ind w:firstLine="420"/>
      </w:pPr>
      <w:r>
        <w:rPr>
          <w:rFonts w:ascii="仿宋_GB2312" w:hAnsi="仿宋_GB2312" w:eastAsia="仿宋_GB2312"/>
          <w:b w:val="0"/>
          <w:sz w:val="32"/>
        </w:rPr>
        <w:t>总体看，需求端绿色化、智能化、场景化趋势明确。集群凭借敏捷制造与协同研发，具备较好适配能力。未来需建立需求洞察机制，前置布局下一代产品，巩固市场响应优势，把需求变化转化为增长动能。把握需求演变节奏，是集群保持市场敏感度的核心能力。前置研发布局，可使集群在需求转换中抢占先发优势。把握需求演变节奏，是集群保持市场敏感度的核心能力。</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区域竞争层面，山东是轮胎第一大省，青岛、烟台、威海及广饶周边均有轮胎与汽配集群，省内同质竞争明显。广饶以县域产能规模与出口份额领先，但与青岛即墨汽车装备、烟台福山零部件等集群在配套市场存在交叉。总体看，广饶在轮胎领域优势突出，在汽配领域需差异化突围。在竞合中明确定位，是集群避免同质化消耗的前提。以差异化构筑壁垒，比单纯比拼产能更具可持续意义。</w:t>
      </w:r>
    </w:p>
    <w:p>
      <w:pPr>
        <w:spacing w:lineRule="exact" w:line="600" w:after="0"/>
        <w:ind w:firstLine="420"/>
      </w:pPr>
      <w:r>
        <w:rPr>
          <w:rFonts w:ascii="仿宋_GB2312" w:hAnsi="仿宋_GB2312" w:eastAsia="仿宋_GB2312"/>
          <w:b w:val="0"/>
          <w:sz w:val="32"/>
        </w:rPr>
        <w:t>从全国看，广饶与浙江、江苏、辽宁等地轮胎集群形成竞争，东南亚低成本产能亦构成外部挤压。汽配领域面临长三角、珠三角成熟零部件产业带的竞争压力。需重点关注，集群需以专精特新与绿色智造构筑差异化壁垒，避免陷入低价内卷，守住既有市场阵地。在竞合中明确定位，是集群避免同质化消耗的前提。以差异化构筑壁垒，比单纯比拼产能更具可持续意义。</w:t>
      </w:r>
    </w:p>
    <w:p>
      <w:pPr>
        <w:spacing w:lineRule="exact" w:line="600" w:after="0"/>
        <w:ind w:firstLine="420"/>
      </w:pPr>
      <w:r>
        <w:rPr>
          <w:rFonts w:ascii="仿宋_GB2312" w:hAnsi="仿宋_GB2312" w:eastAsia="仿宋_GB2312"/>
          <w:b w:val="0"/>
          <w:sz w:val="32"/>
        </w:rPr>
        <w:t>总体看，区域竞争格局强者环伺。集群应扬长避短，巩固轮胎全球份额、做强汽配细分冠军，以特色与质量参与区域竞合，避免同质化消耗，在错位发展中形成难以替代的竞争优势。在竞合中明确定位，是集群避免同质化消耗的前提。以差异化构筑壁垒，比单纯比拼产能更具可持续意义。在竞合中明确定位，是集群避免同质化消耗的前提。以差异化构筑壁垒，比单纯比拼产能更具可持续意义。</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问题集中在结构失衡与能力短板。其一，轮胎与汽配体量悬殊，汽配尚未形成对等支柱，抗周期能力弱；其二，中小企业研发投入不足，原创技术储备有限；其三，高端原料与装备对外依存，循环末端薄弱。这些问题制约了集群整体能级提升，须系统化解。正视并系统解决内部问题，是集群行稳致远的必答题。内部质效的整体改善，将为外部竞争提供坚实支撑。</w:t>
      </w:r>
    </w:p>
    <w:p>
      <w:pPr>
        <w:spacing w:lineRule="exact" w:line="600" w:after="0"/>
        <w:ind w:firstLine="420"/>
      </w:pPr>
      <w:r>
        <w:rPr>
          <w:rFonts w:ascii="仿宋_GB2312" w:hAnsi="仿宋_GB2312" w:eastAsia="仿宋_GB2312"/>
          <w:b w:val="0"/>
          <w:sz w:val="32"/>
        </w:rPr>
        <w:t>从协同看，虽本地配套率达75%，但企业间标准互认、联合出海的深层协同仍不充分，中小企业共享平台红利有限。环保与能耗刚性约束下，部分低效产能出清缓慢。需重点关注，内部问题的系统化解需链长制统筹与政策精准发力，形成跨部门协同推进机制。正视并系统解决内部问题，是集群行稳致远的必答题。内部质效的整体改善，将为外部竞争提供坚实支撑。</w:t>
      </w:r>
    </w:p>
    <w:p>
      <w:pPr>
        <w:spacing w:lineRule="exact" w:line="600" w:after="0"/>
        <w:ind w:firstLine="420"/>
      </w:pPr>
      <w:r>
        <w:rPr>
          <w:rFonts w:ascii="仿宋_GB2312" w:hAnsi="仿宋_GB2312" w:eastAsia="仿宋_GB2312"/>
          <w:b w:val="0"/>
          <w:sz w:val="32"/>
        </w:rPr>
        <w:t>总体看，内部问题是成长的烦恼，源于快速扩张中的结构失衡。未来需以补链强链与梯度培育，推动内部质效整体跃升，把规模优势转化为质量优势与效率优势，实现由大向强的根本转变。正视并系统解决内部问题，是集群行稳致远的必答题。内部质效的整体改善，将为外部竞争提供坚实支撑。正视并系统解决内部问题，是集群行稳致远的必答题。</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国际贸易与原料波动。集群出口依存度高，欧美双反、认证壁垒（如NSF、ECE）及汇率波动直接影响效益；天然橡胶价格受国际市场主导，波动向成本端传导。需重点关注，贸易壁垒升级是最大外部不确定性，须提前布局应对预案。建立风险预警与应对机制，是提升集群韧性的当务之急。以多元化与本土化对冲外部不确定性，应纳入长期战略。</w:t>
      </w:r>
    </w:p>
    <w:p>
      <w:pPr>
        <w:spacing w:lineRule="exact" w:line="600" w:after="0"/>
        <w:ind w:firstLine="420"/>
      </w:pPr>
      <w:r>
        <w:rPr>
          <w:rFonts w:ascii="仿宋_GB2312" w:hAnsi="仿宋_GB2312" w:eastAsia="仿宋_GB2312"/>
          <w:b w:val="0"/>
          <w:sz w:val="32"/>
        </w:rPr>
        <w:t>从产业周期看，汽车产业电动化、智能化重构供应链，传统燃油车配套需求长期承压，若转型迟缓将面临订单流失。此外，东南亚低成本轮胎产能扩张加剧全球竞争。总体看，外部风险呈现贸易、原料、技术多重叠加特征，须综合施策加以对冲。建立风险预警与应对机制，是提升集群韧性的当务之急。以多元化与本土化对冲外部不确定性，应纳入长期战略。</w:t>
      </w:r>
    </w:p>
    <w:p>
      <w:pPr>
        <w:spacing w:lineRule="exact" w:line="600" w:after="0"/>
        <w:ind w:firstLine="420"/>
      </w:pPr>
      <w:r>
        <w:rPr>
          <w:rFonts w:ascii="仿宋_GB2312" w:hAnsi="仿宋_GB2312" w:eastAsia="仿宋_GB2312"/>
          <w:b w:val="0"/>
          <w:sz w:val="32"/>
        </w:rPr>
        <w:t>总体看，外部风险敞口较大。集群需以市场多元、技术升级与供应链韧性建设对冲风险，提升抗冲击能力，在不确定环境中稳住基本盘并培育新增长点。建立风险预警与应对机制，是提升集群韧性的当务之急。以多元化与本土化对冲外部不确定性，应纳入长期战略。建立风险预警与应对机制，是提升集群韧性的当务之急。以多元化与本土化对冲外部不确定性，应纳入长期战略。</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东营市十四五工业和信息化发展规划明确将广饶定位为全国重要的橡胶轮胎和汽车配件生产基地，提出打造南部以广饶为中心的新旧动能转换示范区，重点改造提升橡胶轮胎、汽车零部件制造。省级特色产业集群认定进一步赋予集群政策与品牌背书。总体看，顶层定位清晰。顶层设计的落地实效，关键在于配套细则与要素保障的跟进。</w:t>
      </w:r>
    </w:p>
    <w:p>
      <w:pPr>
        <w:spacing w:lineRule="exact" w:line="600" w:after="0"/>
        <w:ind w:firstLine="420"/>
      </w:pPr>
      <w:r>
        <w:rPr>
          <w:rFonts w:ascii="仿宋_GB2312" w:hAnsi="仿宋_GB2312" w:eastAsia="仿宋_GB2312"/>
          <w:b w:val="0"/>
          <w:sz w:val="32"/>
        </w:rPr>
        <w:t>从省级导向看，山东省推进中小企业特色产业集群培育，鼓励链长制、智改数转与专精特新，与集群发展方向高度契合。2026年度山东省中小企业特色产业集群名单的认定，使广饶先进汽车零部件高端智造集群获得省级专项支持预期。需重点关注，顶层政策的落地细则与资金配套是关键。政策红利的承接能力，直接关系集群升级的实际成效。顶层设计的落地实效，关键在于配套细则与要素保障的跟进。</w:t>
      </w:r>
    </w:p>
    <w:p>
      <w:pPr>
        <w:spacing w:lineRule="exact" w:line="600" w:after="0"/>
        <w:ind w:firstLine="420"/>
      </w:pPr>
      <w:r>
        <w:rPr>
          <w:rFonts w:ascii="仿宋_GB2312" w:hAnsi="仿宋_GB2312" w:eastAsia="仿宋_GB2312"/>
          <w:b w:val="0"/>
          <w:sz w:val="32"/>
        </w:rPr>
        <w:t>总体看，集群处于省、市政策叠加利好期。未来需用好政策窗口，争取专项与试点，将顶层设计转化为具体项目与要素保障，把政策红利切实转化为集群升级的实际成效。顶层设计的落地实效，关键在于配套细则与要素保障的跟进。政策红利的承接能力，直接关系集群升级的实际成效。顶层设计的落地实效，关键在于配套细则与要素保障的跟进。顶层设计的落地实效，关键在于配套细则与要素保障的跟进。</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以广饶县链长制为核心。2021年印发的重点产业链长制实施方案（广政办字〔2021〕40号）将机电汽配列为重点产业，设定高端化、智能化路径；2025年政府工作报告提出实施捷鲨制动器衬片等总投资8.3亿元的9个机电汽配项目。总体看，县级扶持聚焦项目与技改。扶持政策的精准度与兑现率，是企业获得感的直接来源。</w:t>
      </w:r>
    </w:p>
    <w:p>
      <w:pPr>
        <w:spacing w:lineRule="exact" w:line="600" w:after="0"/>
        <w:ind w:firstLine="420"/>
      </w:pPr>
      <w:r>
        <w:rPr>
          <w:rFonts w:ascii="仿宋_GB2312" w:hAnsi="仿宋_GB2312" w:eastAsia="仿宋_GB2312"/>
          <w:b w:val="0"/>
          <w:sz w:val="32"/>
        </w:rPr>
        <w:t>从扶持工具看，广饶县刚性落实联系服务企业制度，用足接诉即办平台，推动惠企政策精准落地；实施制造业智能化改造和数字化转型三年行动，支持企业智改数转；通过企业家年会、雁阵培育壮大企业梯队。需重点关注，扶持正向中小企业与专精特新倾斜，弥补结构短板。把资源更多导向短板环节，能产生更明显的乘数效应。扶持政策的精准度与兑现率，是企业获得感的直接来源。</w:t>
      </w:r>
    </w:p>
    <w:p>
      <w:pPr>
        <w:spacing w:lineRule="exact" w:line="600" w:after="0"/>
        <w:ind w:firstLine="420"/>
      </w:pPr>
      <w:r>
        <w:rPr>
          <w:rFonts w:ascii="仿宋_GB2312" w:hAnsi="仿宋_GB2312" w:eastAsia="仿宋_GB2312"/>
          <w:b w:val="0"/>
          <w:sz w:val="32"/>
        </w:rPr>
        <w:t>总体看，地方扶持体系较完善，以链长统筹、项目牵引、服务托底为特征。未来需提升政策兑现效率与普惠性，让中小企业更充分受益，形成大中小企业共同成长的良性政策生态。把资源更多导向短板环节，能产生更明显的乘数效应。扶持政策的精准度与兑现率，是企业获得感的直接来源。把资源更多导向短板环节，能产生更明显的乘数效应。扶持政策的精准度与兑现率，是企业获得感的直接来源。</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方面，广饶县建成橡胶轮胎产品与材料质量检验中心，提供CNAS、SASO互认检测，便利企业出口；产业大脑平台支撑供应链数据共享；国际橡胶轮胎暨汽车配件展览会成为链接全球资源的核心桥梁。总体看，检测、数字、展会三类公共配套较为完备。公共配套的完善程度，是衡量集群营商环境的重要维度。推动配套服务普惠化，有利于中小企业公平享受集群红利。</w:t>
      </w:r>
    </w:p>
    <w:p>
      <w:pPr>
        <w:spacing w:lineRule="exact" w:line="600" w:after="0"/>
        <w:ind w:firstLine="420"/>
      </w:pPr>
      <w:r>
        <w:rPr>
          <w:rFonts w:ascii="仿宋_GB2312" w:hAnsi="仿宋_GB2312" w:eastAsia="仿宋_GB2312"/>
          <w:b w:val="0"/>
          <w:sz w:val="32"/>
        </w:rPr>
        <w:t>从物流配套看，集群依托东营港与周边枢纽，发展智慧物流与立体仓储（如宏盛智能立体仓储项目），支撑大进大出。需重点关注，中小企业共享检测与出海平台的便利度仍有提升空间，公共服务均等化是优化方向，应扩大普惠覆盖面。公共配套的完善程度，是衡量集群营商环境的重要维度。推动配套服务普惠化，有利于中小企业公平享受集群红利。</w:t>
      </w:r>
    </w:p>
    <w:p>
      <w:pPr>
        <w:spacing w:lineRule="exact" w:line="600" w:after="0"/>
        <w:ind w:firstLine="420"/>
      </w:pPr>
      <w:r>
        <w:rPr>
          <w:rFonts w:ascii="仿宋_GB2312" w:hAnsi="仿宋_GB2312" w:eastAsia="仿宋_GB2312"/>
          <w:b w:val="0"/>
          <w:sz w:val="32"/>
        </w:rPr>
        <w:t>总体看，公共配套是集群竞争力的重要组成。未来应扩展共享中试、融资担保等新型公共服务，完善集群支撑网络，让公共品供给更好地匹配企业升级需要。公共配套的完善程度，是衡量集群营商环境的重要维度。推动配套服务普惠化，有利于中小企业公平享受集群红利。公共配套的完善程度，是衡量集群营商环境的重要维度。推动配套服务普惠化，有利于中小企业公平享受集群红利。</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中发挥着桥梁与自律作用。广饶轮胎展、橡胶工业研究院等平台多由行业组织与院校协同运营，推动技术交流与标准互认；企业在协会框架下探索统一认证、联合出海模式，提升集体议价与抗风险能力。总体看，协会是协同治理的重要一环。协会协同治理的深化，有助于形成政府市场互补的良善格局。赋权协会开展公共服务，可显著降低企业的制度性成本。</w:t>
      </w:r>
    </w:p>
    <w:p>
      <w:pPr>
        <w:spacing w:lineRule="exact" w:line="600" w:after="0"/>
        <w:ind w:firstLine="420"/>
      </w:pPr>
      <w:r>
        <w:rPr>
          <w:rFonts w:ascii="仿宋_GB2312" w:hAnsi="仿宋_GB2312" w:eastAsia="仿宋_GB2312"/>
          <w:b w:val="0"/>
          <w:sz w:val="32"/>
        </w:rPr>
        <w:t>从自律功能看，协会在环保、质量、出口秩序等方面引导企业规范经营，缓解低价竞争。需重点关注，协会服务向中小企业覆盖的深度不足，应强化其在培训、信息、出海组织方面的普惠职能，让更多中小企业受益。协会协同治理的深化，有助于形成政府市场互补的良善格局。赋权协会开展公共服务，可显著降低企业的制度性成本。协会协同治理的深化，有助于形成政府市场互补的良善格局。</w:t>
      </w:r>
    </w:p>
    <w:p>
      <w:pPr>
        <w:spacing w:lineRule="exact" w:line="600" w:after="0"/>
        <w:ind w:firstLine="420"/>
      </w:pPr>
      <w:r>
        <w:rPr>
          <w:rFonts w:ascii="仿宋_GB2312" w:hAnsi="仿宋_GB2312" w:eastAsia="仿宋_GB2312"/>
          <w:b w:val="0"/>
          <w:sz w:val="32"/>
        </w:rPr>
        <w:t>总体看，行业协会作用正向服务、自律、协同演进。未来应赋权协会更多公共服务职能，夯实集群共治基础，形成政府引导、市场主导、协会协同的治理格局。赋权协会开展公共服务，可显著降低企业的制度性成本。协会协同治理的深化，有助于形成政府市场互补的良善格局。赋权协会开展公共服务，可显著降低企业的制度性成本。行业自律与联合出海，是协会服务中小企业的重要着力点。</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橡胶轮胎产业2025年产值营收双破500亿元，成为县域工业支柱；出口额243.7亿元、占全国15.1%。汽配板块以专精特新企业贡献高附加值增量。总体看，集群是广饶县财税与工业增长的核心引擎，对县域经济贡献突出。经济效应的巩固，需要规模与效率双轮驱动、互为支撑。把总量优势转化为质量优势，是效益持续提升的方向。</w:t>
      </w:r>
    </w:p>
    <w:p>
      <w:pPr>
        <w:spacing w:lineRule="exact" w:line="600" w:after="0"/>
        <w:ind w:firstLine="420"/>
      </w:pPr>
      <w:r>
        <w:rPr>
          <w:rFonts w:ascii="仿宋_GB2312" w:hAnsi="仿宋_GB2312" w:eastAsia="仿宋_GB2312"/>
          <w:b w:val="0"/>
          <w:sz w:val="32"/>
        </w:rPr>
        <w:t>从效率效应看，智改数转使重点企业设备数控化率超90%、核心装备数控化率超95%，AI检测将合格率提升至99.8%，单位产出与质量同步改善。需重点关注，经济效应正由规模驱动转向效率与质量驱动，增长质量持续提升。经济效应的巩固，需要规模与效率双轮驱动、互为支撑。把总量优势转化为质量优势，是效益持续提升的方向。经济效应的巩固，需要规模与效率双轮驱动、互为支撑。</w:t>
      </w:r>
    </w:p>
    <w:p>
      <w:pPr>
        <w:spacing w:lineRule="exact" w:line="600" w:after="0"/>
        <w:ind w:firstLine="420"/>
      </w:pPr>
      <w:r>
        <w:rPr>
          <w:rFonts w:ascii="仿宋_GB2312" w:hAnsi="仿宋_GB2312" w:eastAsia="仿宋_GB2312"/>
          <w:b w:val="0"/>
          <w:sz w:val="32"/>
        </w:rPr>
        <w:t>总体看，集群经济效应体现为规模大、出口强、效率升。未来需延续高端化路径，提升单位产出含金量，以更高质量的增长巩固县域经济支柱地位。经济效应的巩固，需要规模与效率双轮驱动、互为支撑。把总量优势转化为质量优势，是效益持续提升的方向。经济效应的巩固，需要规模与效率双轮驱动、互为支撑。把总量优势转化为质量优势，是效益持续提升的方向。</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突出。永盛橡胶六千余名工人、兴源轮胎两千六百余职工，加上配套企业，集群直接吸纳产业工人数以万计。汽配与轮胎的劳动密集型特征，使其成为县域就业蓄水池。总体看，集群对稳就业贡献巨大，社会效益显著。就业质量的同步提升，使集群发展成果更广泛惠及民生。技能红利的积累，将为集群长期竞争力提供人力支撑。就业质量的同步提升，使集群发展成果更广泛惠及民生。</w:t>
      </w:r>
    </w:p>
    <w:p>
      <w:pPr>
        <w:spacing w:lineRule="exact" w:line="600" w:after="0"/>
        <w:ind w:firstLine="420"/>
      </w:pPr>
      <w:r>
        <w:rPr>
          <w:rFonts w:ascii="仿宋_GB2312" w:hAnsi="仿宋_GB2312" w:eastAsia="仿宋_GB2312"/>
          <w:b w:val="0"/>
          <w:sz w:val="32"/>
        </w:rPr>
        <w:t>从就业质量看，智改数转在减少普工的同时创造技术岗，企业以培训提升技能、以福利稳定队伍（免费食宿、五险、购房支持）。需重点关注，就业结构正由体力型向技能型转变，需配套职业培训体系予以支撑。技能红利的积累，将为集群长期竞争力提供人力支撑。就业质量的同步提升，使集群发展成果更广泛惠及民生。技能红利的积累，将为集群长期竞争力提供人力支撑。</w:t>
      </w:r>
    </w:p>
    <w:p>
      <w:pPr>
        <w:spacing w:lineRule="exact" w:line="600" w:after="0"/>
        <w:ind w:firstLine="420"/>
      </w:pPr>
      <w:r>
        <w:rPr>
          <w:rFonts w:ascii="仿宋_GB2312" w:hAnsi="仿宋_GB2312" w:eastAsia="仿宋_GB2312"/>
          <w:b w:val="0"/>
          <w:sz w:val="32"/>
        </w:rPr>
        <w:t>总体看，集群就业效应量大质升。未来应完善技能形成机制，使就业红利可持续，把人口红利转化为技能红利，夯实集群长期竞争力的人力基础。就业质量的同步提升，使集群发展成果更广泛惠及民生。技能红利的积累，将为集群长期竞争力提供人力支撑。稳定而高质量的就业，是集群社会认同的重要来源。该方向的持续推进，对集群整体能级的提升具有积极意义。</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外溢与配套带动。青岛科技大学研究院14项成果转化、龙头智能工厂示范，带动中小企业跟进改造；20公里配套圈使配套企业共享订单与能力。总体看，溢出效应强化了区域产业韧性，提升了整体协同水平。溢出效应的普惠化，是衡量集群带动力的重要标尺。通过制度化安排放大正外部性，可增强区域整体竞争力。溢出效应的普惠化，是衡量集群带动力的重要标尺。</w:t>
      </w:r>
    </w:p>
    <w:p>
      <w:pPr>
        <w:spacing w:lineRule="exact" w:line="600" w:after="0"/>
        <w:ind w:firstLine="420"/>
      </w:pPr>
      <w:r>
        <w:rPr>
          <w:rFonts w:ascii="仿宋_GB2312" w:hAnsi="仿宋_GB2312" w:eastAsia="仿宋_GB2312"/>
          <w:b w:val="0"/>
          <w:sz w:val="32"/>
        </w:rPr>
        <w:t>从城市溢出看，广饶轮胎展提升城市国际知名度，带动物流、商贸、服务发展。需重点关注，溢出效应需通过公共平台向中小企业更均衡扩散，避免大树底下不长草，让更多中小企业分享集群成长红利。溢出效应的普惠化，是衡量集群带动力的重要标尺。通过制度化安排放大正外部性，可增强区域整体竞争力。溢出效应的普惠化，是衡量集群带动力的重要标尺。</w:t>
      </w:r>
    </w:p>
    <w:p>
      <w:pPr>
        <w:spacing w:lineRule="exact" w:line="600" w:after="0"/>
        <w:ind w:firstLine="420"/>
      </w:pPr>
      <w:r>
        <w:rPr>
          <w:rFonts w:ascii="仿宋_GB2312" w:hAnsi="仿宋_GB2312" w:eastAsia="仿宋_GB2312"/>
          <w:b w:val="0"/>
          <w:sz w:val="32"/>
        </w:rPr>
        <w:t>总体看，集群溢出正外部性明显。未来应制度化溢出机制（如共享中试、联合采购），放大带动效应，使集群成为区域高质量发展的强劲增长极。通过制度化安排放大正外部性，可增强区域整体竞争力。溢出效应的普惠化，是衡量集群带动力的重要标尺。通过制度化安排放大正外部性，可增强区域整体竞争力。技术外溢与配套带动，使集群成为区域增长的强劲引擎。</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体现在富民与区域品牌。汽车零部件产业使广饶从农业县跃升为制造强县，轮胎之都成为城市名片；产业繁荣带动居民收入与公共服务提升。总体看，集群深刻改变了县域经济社会面貌，增强了地方发展自信。社会认同的巩固，为集群营造了更为友好包容的发展环境。在发展中履行责任，有助于赢得社会各界的长期支持。社会认同的巩固，为集群营造了更为友好包容的发展环境。</w:t>
      </w:r>
    </w:p>
    <w:p>
      <w:pPr>
        <w:spacing w:lineRule="exact" w:line="600" w:after="0"/>
        <w:ind w:firstLine="420"/>
      </w:pPr>
      <w:r>
        <w:rPr>
          <w:rFonts w:ascii="仿宋_GB2312" w:hAnsi="仿宋_GB2312" w:eastAsia="仿宋_GB2312"/>
          <w:b w:val="0"/>
          <w:sz w:val="32"/>
        </w:rPr>
        <w:t>从可持续看，绿色智造与环保刹车片契合双碳与消费升级，提升社会认同。需重点关注，环保与安全生产的社会期望提高，企业需强化社会责任披露，以负责任形象赢得社会广泛认可。在发展中履行责任，有助于赢得社会各界的长期支持。社会认同的巩固，为集群营造了更为友好包容的发展环境。在发展中履行责任，有助于赢得社会各界的长期支持。</w:t>
      </w:r>
    </w:p>
    <w:p>
      <w:pPr>
        <w:spacing w:lineRule="exact" w:line="600" w:after="0"/>
        <w:ind w:firstLine="420"/>
      </w:pPr>
      <w:r>
        <w:rPr>
          <w:rFonts w:ascii="仿宋_GB2312" w:hAnsi="仿宋_GB2312" w:eastAsia="仿宋_GB2312"/>
          <w:b w:val="0"/>
          <w:sz w:val="32"/>
        </w:rPr>
        <w:t>总体看，集群社会效应正向且深远。未来应平衡发展与责任，巩固社会认同基础，让产业发展成果更广泛地惠及县域群众，实现经济与社会协调发展。社会认同的巩固，为集群营造了更为友好包容的发展环境。在发展中履行责任，有助于赢得社会各界的长期支持。富民与兴城相统一，彰显了特色产业集群的综合价值。该方向的持续推进，对集群整体能级的提升具有积极意义。</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方面：一是轮胎与汽配体量失衡，汽配支柱不强；二是高端原料与装备对外依存，研发原创不足；三是循环末端与绿色制造有待深化；四是中小企业共享平台红利有限、协同深度不足。这些问题是后续对策的出发点，须系统应对。问题清单的厘清，为后续精准施策提供了清晰的坐标系。坚持系统观念破题，方能避免局部优化带来的整体失衡。</w:t>
      </w:r>
    </w:p>
    <w:p>
      <w:pPr>
        <w:spacing w:lineRule="exact" w:line="600" w:after="0"/>
        <w:ind w:firstLine="420"/>
      </w:pPr>
      <w:r>
        <w:rPr>
          <w:rFonts w:ascii="仿宋_GB2312" w:hAnsi="仿宋_GB2312" w:eastAsia="仿宋_GB2312"/>
          <w:b w:val="0"/>
          <w:sz w:val="32"/>
        </w:rPr>
        <w:t>从风险看，高出口依存叠加贸易壁垒、原料波动与电动化重构，外部不确定性突出。需重点关注，问题具有系统性，单点施策难奏效，须以链式思维整体推进，形成标本兼治、长短结合的政策组合。问题清单的厘清，为后续精准施策提供了清晰的坐标系。坚持系统观念破题，方能避免局部优化带来的整体失衡。问题清单的厘清，为后续精准施策提供了清晰的坐标系。</w:t>
      </w:r>
    </w:p>
    <w:p>
      <w:pPr>
        <w:spacing w:lineRule="exact" w:line="600" w:after="0"/>
        <w:ind w:firstLine="420"/>
      </w:pPr>
      <w:r>
        <w:rPr>
          <w:rFonts w:ascii="仿宋_GB2312" w:hAnsi="仿宋_GB2312" w:eastAsia="仿宋_GB2312"/>
          <w:b w:val="0"/>
          <w:sz w:val="32"/>
        </w:rPr>
        <w:t>总体看，集群大而不强、全而不精特征仍存。未来应以补链强链延链为主线，推动由规模领先向质量引领转变，在新一轮产业变革中抢占主动。坚持系统观念破题，方能避免局部优化带来的整体失衡。问题清单的厘清，为后续精准施策提供了清晰的坐标系。坚持系统观念破题，方能避免局部优化带来的整体失衡。把问题作为着力点，可使后续对策更具针对性与操作性。</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高端原料与装备本地化，发展特种合成橡胶、高端数控装备与汽车电子，降低对外依存；强链应提升研发设计与品牌溢价，向微笑曲线两端延伸；延链应拓展轮胎翻新、废旧橡胶高值利用与再制造，补齐循环末端。总体看，三链协同是结构优化的核心路径。三链协同推进，是重塑集群价值结构与韧性的根本路径。延伸环节必须守住绿色底线，防止低水平重复建设。</w:t>
      </w:r>
    </w:p>
    <w:p>
      <w:pPr>
        <w:spacing w:lineRule="exact" w:line="600" w:after="0"/>
        <w:ind w:firstLine="420"/>
      </w:pPr>
      <w:r>
        <w:rPr>
          <w:rFonts w:ascii="仿宋_GB2312" w:hAnsi="仿宋_GB2312" w:eastAsia="仿宋_GB2312"/>
          <w:b w:val="0"/>
          <w:sz w:val="32"/>
        </w:rPr>
        <w:t>从汽配补强看，应壮大制动、传动、轮毂板块，培育对标国际的第二支柱，平衡与轮胎的体量差距。需重点关注，延链需以绿色化为底线，避免低水平扩张，确保延伸环节符合双碳与高质量发展要求。三链协同推进，是重塑集群价值结构与韧性的根本路径。延伸环节必须守住绿色底线，防止低水平重复建设。三链协同推进，是重塑集群价值结构与韧性的根本路径。</w:t>
      </w:r>
    </w:p>
    <w:p>
      <w:pPr>
        <w:spacing w:lineRule="exact" w:line="600" w:after="0"/>
        <w:ind w:firstLine="420"/>
      </w:pPr>
      <w:r>
        <w:rPr>
          <w:rFonts w:ascii="仿宋_GB2312" w:hAnsi="仿宋_GB2312" w:eastAsia="仿宋_GB2312"/>
          <w:b w:val="0"/>
          <w:sz w:val="32"/>
        </w:rPr>
        <w:t>总体看，补链强链延链应以高端化、绿色化、循环化为导向，重塑集群价值结构，使产业链更具韧性、更具附加值、更可持续。延伸环节必须守住绿色底线，防止低水平重复建设。三链协同推进，是重塑集群价值结构与韧性的根本路径。延伸环节必须守住绿色底线，防止低水平重复建设。补链与强链并举，才能从根本上提升产业链自主可控水平。该方向的持续推进，对集群整体能级的提升具有积极意义。</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实施雁阵梯次策略：巩固金宇、永盛等龙头，支持其全球化布局与品牌出海；壮大宝泰制动、凯福瑞等专精特新小巨人与单项冠军；孵化科技型中小企业。总体看，大中小融通是培育主线，梯队协同方能行稳致远。梯次培育的精髓，在于让各类企业都能找到成长通道。精准滴灌胜过撒胡椒面，方能培育出更多隐形冠军。梯次培育的精髓，在于让各类企业都能找到成长通道。</w:t>
      </w:r>
    </w:p>
    <w:p>
      <w:pPr>
        <w:spacing w:lineRule="exact" w:line="600" w:after="0"/>
        <w:ind w:firstLine="420"/>
      </w:pPr>
      <w:r>
        <w:rPr>
          <w:rFonts w:ascii="仿宋_GB2312" w:hAnsi="仿宋_GB2312" w:eastAsia="仿宋_GB2312"/>
          <w:b w:val="0"/>
          <w:sz w:val="32"/>
        </w:rPr>
        <w:t>从培育工具看，应建立专精特新认定与赋能体系，提供技改补贴、市场对接与出海组织；鼓励中小企业抱团出海、联合认证。需重点关注，培育需精准滴灌，避免资源过度向龙头集中，兼顾中小企业成长空间。精准滴灌胜过撒胡椒面，方能培育出更多隐形冠军。梯次培育的精髓，在于让各类企业都能找到成长通道。精准滴灌胜过撒胡椒面，方能培育出更多隐形冠军。</w:t>
      </w:r>
    </w:p>
    <w:p>
      <w:pPr>
        <w:spacing w:lineRule="exact" w:line="600" w:after="0"/>
        <w:ind w:firstLine="420"/>
      </w:pPr>
      <w:r>
        <w:rPr>
          <w:rFonts w:ascii="仿宋_GB2312" w:hAnsi="仿宋_GB2312" w:eastAsia="仿宋_GB2312"/>
          <w:b w:val="0"/>
          <w:sz w:val="32"/>
        </w:rPr>
        <w:t>总体看，企业培育应以专精特新为旗帜，构建梯队成长生态，让不同规模企业在集群中各得其所、协同共进，夯实产业根基。梯次培育的精髓，在于让各类企业都能找到成长通道。精准滴灌胜过撒胡椒面，方能培育出更多隐形冠军。大中小企业融通发展，是巩固集群根基的持久之策。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平台共享与产学研贯通。推动青岛科技大学研究院、企业联合实验室向中小企业开放，建设共享中试基地；设立集群共性技术攻关专项，聚焦绿色配方、智能检测与新能源适配。总体看，创新需从龙头独享转向普惠共享。创新资源的开放共享，是缩小企业间能力鸿沟的关键。以企业为主体、市场为导向，才能保证创新不偏离产业。创新资源的开放共享，是缩小企业间能力鸿沟的关键。</w:t>
      </w:r>
    </w:p>
    <w:p>
      <w:pPr>
        <w:spacing w:lineRule="exact" w:line="600" w:after="0"/>
        <w:ind w:firstLine="420"/>
      </w:pPr>
      <w:r>
        <w:rPr>
          <w:rFonts w:ascii="仿宋_GB2312" w:hAnsi="仿宋_GB2312" w:eastAsia="仿宋_GB2312"/>
          <w:b w:val="0"/>
          <w:sz w:val="32"/>
        </w:rPr>
        <w:t>从人才看，应引进高端研发与复合型人才，完善本地职教与岗位练兵衔接。需重点关注，创新提升须以企业为主体、市场为导向，避免科研与产业两张皮，切实提高成果本地转化效率与产业适配度。创新资源的开放共享，是缩小企业间能力鸿沟的关键。以企业为主体、市场为导向，才能保证创新不偏离产业。创新资源的开放共享，是缩小企业间能力鸿沟的关键。</w:t>
      </w:r>
    </w:p>
    <w:p>
      <w:pPr>
        <w:spacing w:lineRule="exact" w:line="600" w:after="0"/>
        <w:ind w:firstLine="420"/>
      </w:pPr>
      <w:r>
        <w:rPr>
          <w:rFonts w:ascii="仿宋_GB2312" w:hAnsi="仿宋_GB2312" w:eastAsia="仿宋_GB2312"/>
          <w:b w:val="0"/>
          <w:sz w:val="32"/>
        </w:rPr>
        <w:t>总体看，创新提升应以平台开放与人才集聚为支点，筑牢高端化根基，把创新打造成集群最核心的竞争变量与增长源泉。以企业为主体、市场为导向，才能保证创新不偏离产业。创新资源的开放共享，是缩小企业间能力鸿沟的关键。以企业为主体、市场为导向，才能保证创新不偏离产业。平台与人才双轮支撑，方能筑牢集群高端化的创新根基。该方向的持续推进，对集群整体能级的提升具有积极意义。</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破解土地能耗与融资约束。通过存量盘活与集约用地提升空间效率；以节能技改与绿电应用降低能耗强度；完善多层次融资，扩大产业基金与股权融资，缓解中小企业资本约束。总体看，要素保障是高端化的硬支撑。要素配置的精准高效，是高端化转型不可或缺的底盘。在约束中谋发展，更需依靠集约与节约释放新空间。要素配置的精准高效，是高端化转型不可或缺的底盘。</w:t>
      </w:r>
    </w:p>
    <w:p>
      <w:pPr>
        <w:spacing w:lineRule="exact" w:line="600" w:after="0"/>
        <w:ind w:firstLine="420"/>
      </w:pPr>
      <w:r>
        <w:rPr>
          <w:rFonts w:ascii="仿宋_GB2312" w:hAnsi="仿宋_GB2312" w:eastAsia="仿宋_GB2312"/>
          <w:b w:val="0"/>
          <w:sz w:val="32"/>
        </w:rPr>
        <w:t>从原料保障看，应建立长协采购与原料基地合作，研发替代材料，稳固供应链韧性。需重点关注，要素配置应向专精特新与绿色项目倾斜，提升产出效率，以更集约的要素投入支撑更高质量的发展。在约束中谋发展，更需依靠集约与节约释放新空间。要素配置的精准高效，是高端化转型不可或缺的底盘。在约束中谋发展，更需依靠集约与节约释放新空间。</w:t>
      </w:r>
    </w:p>
    <w:p>
      <w:pPr>
        <w:spacing w:lineRule="exact" w:line="600" w:after="0"/>
        <w:ind w:firstLine="420"/>
      </w:pPr>
      <w:r>
        <w:rPr>
          <w:rFonts w:ascii="仿宋_GB2312" w:hAnsi="仿宋_GB2312" w:eastAsia="仿宋_GB2312"/>
          <w:b w:val="0"/>
          <w:sz w:val="32"/>
        </w:rPr>
        <w:t>总体看，要素保障需以节约集约、精准配置为原则，支撑可持续扩张，在资源环境约束下走出一条内涵式增长的新路。要素配置的精准高效，是高端化转型不可或缺的底盘。在约束中谋发展，更需依靠集约与节约释放新空间。用地、能耗、资本的协同保障，将支撑集群可持续扩张。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链长制统筹与兑现效率。细化省级特色产业集群支持细则，争取专项与试点；提升惠企政策精准滴灌与接诉即办响应，降低制度性成本。总体看，政策应从给优惠转向建生态，营造稳定可预期的发展环境。政策优化的终极目标，是造就近悦远来的优质营商环境。以企业获得感校准政策，方能确保改革举措落地见效。政策优化的终极目标，是造就近悦远来的优质营商环境。</w:t>
      </w:r>
    </w:p>
    <w:p>
      <w:pPr>
        <w:spacing w:lineRule="exact" w:line="600" w:after="0"/>
        <w:ind w:firstLine="420"/>
      </w:pPr>
      <w:r>
        <w:rPr>
          <w:rFonts w:ascii="仿宋_GB2312" w:hAnsi="仿宋_GB2312" w:eastAsia="仿宋_GB2312"/>
          <w:b w:val="0"/>
          <w:sz w:val="32"/>
        </w:rPr>
        <w:t>从协同治理看，应赋权行业协会更多公共服务职能，完善标准互认与联合出海机制；健全环保、质量、出口秩序自律。需重点关注，政策优化须以企业获得感为标尺，定期评估调整，确保政策实效。以企业获得感校准政策，方能确保改革举措落地见效。政策优化的终极目标，是造就近悦远来的优质营商环境。以企业获得感校准政策，方能确保改革举措落地见效。</w:t>
      </w:r>
    </w:p>
    <w:p>
      <w:pPr>
        <w:spacing w:lineRule="exact" w:line="600" w:after="0"/>
        <w:ind w:firstLine="420"/>
      </w:pPr>
      <w:r>
        <w:rPr>
          <w:rFonts w:ascii="仿宋_GB2312" w:hAnsi="仿宋_GB2312" w:eastAsia="仿宋_GB2312"/>
          <w:b w:val="0"/>
          <w:sz w:val="32"/>
        </w:rPr>
        <w:t>总体看，政策优化应以营造一流营商环境为目标，护航集群行稳致远，使各类经营主体在公平竞争中焕发更大活力。政策优化的终极目标，是造就近悦远来的优质营商环境。以企业获得感校准政策，方能确保改革举措落地见效。由给优惠转向建生态，是政策供给方式升级的必然取向。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东营市人民政府. 广饶县：小轮胎转出百亿级"智造"新赛道. http://dongying.gov.cn/art/2026/6/30/art_38798_10470104.html</w:t>
      </w:r>
    </w:p>
    <w:p>
      <w:pPr>
        <w:spacing w:lineRule="exact" w:line="600" w:after="0"/>
        <w:ind w:firstLine="0"/>
      </w:pPr>
      <w:r>
        <w:rPr>
          <w:rFonts w:ascii="仿宋_GB2312" w:hAnsi="仿宋_GB2312" w:eastAsia="仿宋_GB2312"/>
          <w:b w:val="0"/>
          <w:sz w:val="32"/>
        </w:rPr>
        <w:t>2. 广饶县人民政府办公室. 关于印发广饶县重点产业"链长制"实施方案(2021—2023年)的通知(广政办字〔2021〕40号). http://www.guangrao.gov.cn/art/2021/11/8/art_229091_804.html</w:t>
      </w:r>
    </w:p>
    <w:p>
      <w:pPr>
        <w:spacing w:lineRule="exact" w:line="600" w:after="0"/>
        <w:ind w:firstLine="0"/>
      </w:pPr>
      <w:r>
        <w:rPr>
          <w:rFonts w:ascii="仿宋_GB2312" w:hAnsi="仿宋_GB2312" w:eastAsia="仿宋_GB2312"/>
          <w:b w:val="0"/>
          <w:sz w:val="32"/>
        </w:rPr>
        <w:t>3. 广饶县人民政府. 2025年政府工作报告. http://www.guangrao.gov.cn/art/2025/2/10/art_372023_10370645.html</w:t>
      </w:r>
    </w:p>
    <w:p>
      <w:pPr>
        <w:spacing w:lineRule="exact" w:line="600" w:after="0"/>
        <w:ind w:firstLine="0"/>
      </w:pPr>
      <w:r>
        <w:rPr>
          <w:rFonts w:ascii="仿宋_GB2312" w:hAnsi="仿宋_GB2312" w:eastAsia="仿宋_GB2312"/>
          <w:b w:val="0"/>
          <w:sz w:val="32"/>
        </w:rPr>
        <w:t>4. 东营市人民政府/网易山东. 广饶刹车片凭啥"圈粉"欧美市场. https://sd.news.163.com/26/0812/15/L450TQU1043798HD.html</w:t>
      </w:r>
    </w:p>
    <w:p>
      <w:pPr>
        <w:spacing w:lineRule="exact" w:line="600" w:after="0"/>
        <w:ind w:firstLine="0"/>
      </w:pPr>
      <w:r>
        <w:rPr>
          <w:rFonts w:ascii="仿宋_GB2312" w:hAnsi="仿宋_GB2312" w:eastAsia="仿宋_GB2312"/>
          <w:b w:val="0"/>
          <w:sz w:val="32"/>
        </w:rPr>
        <w:t>5. 齐鲁网·闪电新闻. 坚持实体为本 持续推进新型工业化. https://sdxw.iqilu.com/share/YS0yMS0xNTM5MjIyMQ.html</w:t>
      </w:r>
    </w:p>
    <w:p>
      <w:pPr>
        <w:spacing w:lineRule="exact" w:line="600" w:after="0"/>
        <w:ind w:firstLine="0"/>
      </w:pPr>
      <w:r>
        <w:rPr>
          <w:rFonts w:ascii="仿宋_GB2312" w:hAnsi="仿宋_GB2312" w:eastAsia="仿宋_GB2312"/>
          <w:b w:val="0"/>
          <w:sz w:val="32"/>
        </w:rPr>
        <w:t>6. 东营市工业和信息化局. 东营市"十四五"工业和信息化发展规划. http://www.dongying.gov.cn/art/2021/12/31/art_245908_7341.html</w:t>
      </w:r>
    </w:p>
    <w:p>
      <w:pPr>
        <w:spacing w:lineRule="exact" w:line="600" w:after="0"/>
        <w:ind w:firstLine="0"/>
      </w:pPr>
      <w:r>
        <w:rPr>
          <w:rFonts w:ascii="仿宋_GB2312" w:hAnsi="仿宋_GB2312" w:eastAsia="仿宋_GB2312"/>
          <w:b w:val="0"/>
          <w:sz w:val="32"/>
        </w:rPr>
        <w:t>7. 大众网. 广饶，不止轮胎. https://w.dzwww.com/p/p0ByjiwU8G8.html</w:t>
      </w:r>
    </w:p>
    <w:p>
      <w:pPr>
        <w:spacing w:lineRule="exact" w:line="600" w:after="0"/>
        <w:ind w:firstLine="0"/>
      </w:pPr>
      <w:r>
        <w:rPr>
          <w:rFonts w:ascii="仿宋_GB2312" w:hAnsi="仿宋_GB2312" w:eastAsia="仿宋_GB2312"/>
          <w:b w:val="0"/>
          <w:sz w:val="32"/>
        </w:rPr>
        <w:t>8. 新浪财经. 广饶轮胎，北斗七星. https://finance.sina.com.cn/wm/2026-06-05/doc-iniaiyys8440323.shtml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