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梁山县教辅特色产业集群发展研究报告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梁山县教辅特色产业集群位于山东省济宁市梁山县，是以教育图书研发、出版、印刷、发行及相关教育服务为核心的省级特色产业集群，同时亦是山东省“十强”产业“雁阵形”集群。梁山自上世纪八十年代后期由农民贩销教辅起步，逐步发展为全国知名的教辅图书产业基地，从发展历程看，该集群是所在地坚持长期主义、久久为功培育特色产业的典型代表。</w:t>
      </w:r>
    </w:p>
    <w:p>
      <w:pPr>
        <w:spacing w:lineRule="exact" w:line="600" w:after="0"/>
        <w:ind w:firstLine="420"/>
      </w:pPr>
      <w:r>
        <w:rPr>
          <w:rFonts w:ascii="仿宋_GB2312" w:hAnsi="仿宋_GB2312" w:eastAsia="仿宋_GB2312"/>
          <w:b w:val="0"/>
          <w:sz w:val="32"/>
        </w:rPr>
        <w:t>集群以梁山县出版印刷产业园为主载体，覆盖图书研发、编校、印刷、发行、仓储、物流等全链条环节，并被认定为“中国出版物发行产业基地”“山东省版权示范园区”“山东省数字经济园区”，形成具有全国影响力的教育服务产业集聚区，从发展历程看，该集群是所在地坚持长期主义、久久为功培育特色产业的典型代表，其产业属性决定了集群必须走创新驱动、内涵式增长的道路，难以依靠简单规模扩张取胜。</w:t>
      </w:r>
    </w:p>
    <w:p>
      <w:pPr>
        <w:spacing w:lineRule="exact" w:line="600" w:after="0"/>
        <w:ind w:firstLine="420"/>
      </w:pPr>
      <w:r>
        <w:rPr>
          <w:rFonts w:ascii="仿宋_GB2312" w:hAnsi="仿宋_GB2312" w:eastAsia="仿宋_GB2312"/>
          <w:b w:val="0"/>
          <w:sz w:val="32"/>
        </w:rPr>
        <w:t>2023年，梁山县教辅特色产业集群获评“山东省中小企业特色产业集群”，标志着其特色化、专业化发展获得省级认可。集群依托“互联网+教育”战略持续向数字出版与智慧教育转型，是鲁西南地区文化产业的标志性集群，从发展历程看，该集群是所在地坚持长期主义、久久为功培育特色产业的典型代表，其产业属性决定了集群必须走创新驱动、内涵式增长的道路，难以依靠简单规模扩张取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公开资料，梁山县教育服务相关企业已发展到150余家至170余家，其中图书研发企业80余家至110余家，规模以上文化企业约39家，发行200余个品牌，涵盖2万多种单品，主体数量众多、产品矩阵庞大，规模快速扩张的同时，集群产出质量和创新浓度同步提升，并未出现简单的数量堆积，需要关注的是，集群统计口径涵盖多环节，体量评估应结合结构质量综合判断。</w:t>
      </w:r>
    </w:p>
    <w:p>
      <w:pPr>
        <w:spacing w:lineRule="exact" w:line="600" w:after="0"/>
        <w:ind w:firstLine="420"/>
      </w:pPr>
      <w:r>
        <w:rPr>
          <w:rFonts w:ascii="仿宋_GB2312" w:hAnsi="仿宋_GB2312" w:eastAsia="仿宋_GB2312"/>
          <w:b w:val="0"/>
          <w:sz w:val="32"/>
        </w:rPr>
        <w:t>在经营规模上，2024年教育服务产业纸媒图书销售码洋约255亿元，实现营收约43亿元；2023年上半年教育用书产业集群实现销售收入136亿元，同比增长约10%，显示出较强的产销规模与增长韧性，规模快速扩张的同时，集群产出质量和创新浓度同步提升，并未出现简单的数量堆积，需要关注的是，集群统计口径涵盖多环节，体量评估应结合结构质量综合判断。</w:t>
      </w:r>
    </w:p>
    <w:p>
      <w:pPr>
        <w:spacing w:lineRule="exact" w:line="600" w:after="0"/>
        <w:ind w:firstLine="420"/>
      </w:pPr>
      <w:r>
        <w:rPr>
          <w:rFonts w:ascii="仿宋_GB2312" w:hAnsi="仿宋_GB2312" w:eastAsia="仿宋_GB2312"/>
          <w:b w:val="0"/>
          <w:sz w:val="32"/>
        </w:rPr>
        <w:t>从细分营收看，2025年1至6月当地纸媒图书企业营收约16.4亿元、印刷企业营收约5.1亿元。集群高中教辅图书在全国市场占据约三分之一份额，真正实现“三分天下有其一”的市场地位，规模体量在国内教辅产区中位居前列，规模快速扩张的同时，集群产出质量和创新浓度同步提升，并未出现简单的数量堆积，需要关注的是，集群统计口径涵盖多环节，体量评估应结合结构质量综合判断。</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为教辅图书与教育出版物的研发、策划、印刷与发行，涵盖幼儿到高中全学段及职业教育，产品包括同步练习、试卷、二类教材（如《法制教育》《国学经典》《安全教育》）等，品类齐全、体系完整，主导产业之间互为支撑，形成较为清晰的协同逻辑，避免了单点突进的脆弱性，主导产业的遴选紧扣本地资源禀赋与龙头基础，避免了脱离实际的同质化布局。</w:t>
      </w:r>
    </w:p>
    <w:p>
      <w:pPr>
        <w:spacing w:lineRule="exact" w:line="600" w:after="0"/>
        <w:ind w:firstLine="420"/>
      </w:pPr>
      <w:r>
        <w:rPr>
          <w:rFonts w:ascii="仿宋_GB2312" w:hAnsi="仿宋_GB2312" w:eastAsia="仿宋_GB2312"/>
          <w:b w:val="0"/>
          <w:sz w:val="32"/>
        </w:rPr>
        <w:t>围绕图书主业，集群延伸出数字出版、在线教育平台、教育装备与智慧教育服务，形成“纸媒+数媒”融合的主导产业形态。龙头企业打造了“91淘课网”“中国好课堂”“师说365”“云教智学”等教育信息化平台，主导产业之间互为支撑，形成较为清晰的协同逻辑，避免了单点突进的脆弱性，主导产业的遴选紧扣本地资源禀赋与龙头基础，避免了脱离实际的同质化布局。</w:t>
      </w:r>
    </w:p>
    <w:p>
      <w:pPr>
        <w:spacing w:lineRule="exact" w:line="600" w:after="0"/>
        <w:ind w:firstLine="420"/>
      </w:pPr>
      <w:r>
        <w:rPr>
          <w:rFonts w:ascii="仿宋_GB2312" w:hAnsi="仿宋_GB2312" w:eastAsia="仿宋_GB2312"/>
          <w:b w:val="0"/>
          <w:sz w:val="32"/>
        </w:rPr>
        <w:t>在《集群元数据》中，主导产业被概括为“上游材料与配件、产品制造、商贸与服务”。对应而言，即纸张油墨等印制物料为上游，编辑策划与印刷制造为中游，发行物流与数字服务为下游，构成完整的教育服务产业体系，主导产业之间互为支撑，形成较为清晰的协同逻辑，避免了单点突进的脆弱性，主导产业的遴选紧扣本地资源禀赋与龙头基础，避免了脱离实际的同质化布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涵盖上游纸张油墨等印制物料、中游研发编校与印刷制造、下游发行仓储物流与数字服务，已形成集研发、出版、印刷、发行、仓储、物流于一体的全产业链条，链条完整度在民营书业中较为突出，完整度提升的关键是公共平台前置布局，使中小企业能够以较低成本接入产业链，从实际运行看，研发与中试环节的打通显著缩短了成果走向市场的周期。</w:t>
      </w:r>
    </w:p>
    <w:p>
      <w:pPr>
        <w:spacing w:lineRule="exact" w:line="600" w:after="0"/>
        <w:ind w:firstLine="420"/>
      </w:pPr>
      <w:r>
        <w:rPr>
          <w:rFonts w:ascii="仿宋_GB2312" w:hAnsi="仿宋_GB2312" w:eastAsia="仿宋_GB2312"/>
          <w:b w:val="0"/>
          <w:sz w:val="32"/>
        </w:rPr>
        <w:t>上游环节，集群与人民教育出版社、山东教育出版社等200余家全国知名出版社开展合作，辅料供应渠道畅通；中游以百余家图书研发企业与印刷企业为支撑；下游拥有覆盖全国除港澳台外所有省市区的发行网络，配套较为成熟，完整度提升的关键是公共平台前置布局，使中小企业能够以较低成本接入产业链，从实际运行看，研发与中试环节的打通显著缩短了成果走向市场的周期。</w:t>
      </w:r>
    </w:p>
    <w:p>
      <w:pPr>
        <w:spacing w:lineRule="exact" w:line="600" w:after="0"/>
        <w:ind w:firstLine="420"/>
      </w:pPr>
      <w:r>
        <w:rPr>
          <w:rFonts w:ascii="仿宋_GB2312" w:hAnsi="仿宋_GB2312" w:eastAsia="仿宋_GB2312"/>
          <w:b w:val="0"/>
          <w:sz w:val="32"/>
        </w:rPr>
        <w:t>近年来山东经典印务等项目投产，补齐了过去图书印刷长期外发的短板，实现“三天发货”的快速响应，使产业链闭环更紧密。整体看，集群链条齐全、环节协同，具备从内容到产品的垂直整合能力，完整度提升的关键是公共平台前置布局，使中小企业能够以较低成本接入产业链，从实际运行看，研发与中试环节的打通显著缩短了成果走向市场的周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尽管链条完整，但印刷制造等重资产环节曾是明显短板，早年大量印刷业务外发至外省，往返物流需七到十天，既增加成本又影响交付时效，直到近几年本地印务项目落地才逐步缓解，短板补齐仍在进行中，短板识别有助于精准施策，避免撒胡椒面式的资源投入造成低效，补短板的重点应放在平台赋能与人才引育，而非简单新增产能，对短板宜建立动态清单，结合产业发展阶段滚动调整攻坚方向。</w:t>
      </w:r>
    </w:p>
    <w:p>
      <w:pPr>
        <w:spacing w:lineRule="exact" w:line="600" w:after="0"/>
        <w:ind w:firstLine="420"/>
      </w:pPr>
      <w:r>
        <w:rPr>
          <w:rFonts w:ascii="仿宋_GB2312" w:hAnsi="仿宋_GB2312" w:eastAsia="仿宋_GB2312"/>
          <w:b w:val="0"/>
          <w:sz w:val="32"/>
        </w:rPr>
        <w:t>在内容原创与版权创造上，集群以教辅策划见长，但自主原创性、长生命周期的精品内容占比有限，对课标考纲变化依赖度高，受“双减”等教育政策调整冲击明显，产业链的内容抗周期能力有待增强，短板识别有助于精准施策，避免撒胡椒面式的资源投入造成低效，补短板的重点应放在平台赋能与人才引育，而非简单新增产能，对短板宜建立动态清单，结合产业发展阶段滚动调整攻坚方向。</w:t>
      </w:r>
    </w:p>
    <w:p>
      <w:pPr>
        <w:spacing w:lineRule="exact" w:line="600" w:after="0"/>
        <w:ind w:firstLine="420"/>
      </w:pPr>
      <w:r>
        <w:rPr>
          <w:rFonts w:ascii="仿宋_GB2312" w:hAnsi="仿宋_GB2312" w:eastAsia="仿宋_GB2312"/>
          <w:b w:val="0"/>
          <w:sz w:val="32"/>
        </w:rPr>
        <w:t>数字服务环节虽已起步，但多数平台体量偏小、同质化，与头部教育科技企业的差距较大；高端印刷装备、环保材料与智能仓储仍部分依赖外部，产业链在核心装备与关键技术上的自主度仍需提升，短板识别有助于精准施策，避免撒胡椒面式的资源投入造成低效，补短板的重点应放在平台赋能与人才引育，而非简单新增产能，对短板宜建立动态清单，结合产业发展阶段滚动调整攻坚方向。</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看，梁山教辅集群凭借规模与渠道优势，在中游策划印刷与下游发行环节掌握较强话语权，高中教辅全国约三分之一份额即是其渠道掌控力的体现，但在上游版权与下游终端服务溢价上仍有提升空间，价值链位置决定收益分配，集群必须持续向研发与品牌端集中资源，高价值环节突破是集群竞争力的重要标志，但需防范核心权益过度外流。</w:t>
      </w:r>
    </w:p>
    <w:p>
      <w:pPr>
        <w:spacing w:lineRule="exact" w:line="600" w:after="0"/>
        <w:ind w:firstLine="420"/>
      </w:pPr>
      <w:r>
        <w:rPr>
          <w:rFonts w:ascii="仿宋_GB2312" w:hAnsi="仿宋_GB2312" w:eastAsia="仿宋_GB2312"/>
          <w:b w:val="0"/>
          <w:sz w:val="32"/>
        </w:rPr>
        <w:t>在研发策划环节，集群具备成熟的教辅内容开发能力，但高附加值的原创版权、数字课程与品牌IP占比相对有限，单位码洋的版权收益偏低；在终端，集群多以B端（学校、书店）批发为主，直接面向C端的品牌溢价有限，价值链位置决定收益分配，集群必须持续向研发与品牌端集中资源，高价值环节突破是集群竞争力的重要标志，但需防范核心权益过度外流。</w:t>
      </w:r>
    </w:p>
    <w:p>
      <w:pPr>
        <w:spacing w:lineRule="exact" w:line="600" w:after="0"/>
        <w:ind w:firstLine="420"/>
      </w:pPr>
      <w:r>
        <w:rPr>
          <w:rFonts w:ascii="仿宋_GB2312" w:hAnsi="仿宋_GB2312" w:eastAsia="仿宋_GB2312"/>
          <w:b w:val="0"/>
          <w:sz w:val="32"/>
        </w:rPr>
        <w:t>提升价值链位置的关键在于向“内容版权+数字服务”两端延伸，沉淀自有知识产权与用户数据，发展智慧教育与订阅服务，从而获取高于传统纸媒印刷的附加值与持续收益，价值链位置决定收益分配，集群必须持续向研发与品牌端集中资源，高价值环节突破是集群竞争力的重要标志，但需防范核心权益过度外流，提升价值链位置的根本在于原始创新，而非延续跟随式开发路径。</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部分工清晰：龙头企业侧重全学段产品研发、品牌建设、数字平台与总发行；中型书业公司聚焦细分学段与区域市场；印刷企业承接承印业务；发行与物流商负责全国分销，形成专业化协作网络，清晰的分工降低了内部同质化竞争，提升了集群整体运行效率，分工体系的形成有赖于龙头企业的辐射能力与公共服务的可得性，应进一步以分工促协同，使中小企业在链条中找到稳定定位。</w:t>
      </w:r>
    </w:p>
    <w:p>
      <w:pPr>
        <w:spacing w:lineRule="exact" w:line="600" w:after="0"/>
        <w:ind w:firstLine="420"/>
      </w:pPr>
      <w:r>
        <w:rPr>
          <w:rFonts w:ascii="仿宋_GB2312" w:hAnsi="仿宋_GB2312" w:eastAsia="仿宋_GB2312"/>
          <w:b w:val="0"/>
          <w:sz w:val="32"/>
        </w:rPr>
        <w:t>园区层面，梁山出版印刷产业园集聚了金榜苑、天成、新坐标、水浒文化传媒等骨干企业及多家印务公司，实现“编辑—出版—印刷—发行—物流”的集纳式联动；不同企业围绕品牌与渠道形成错位竞争与配套关系，清晰的分工降低了内部同质化竞争，提升了集群整体运行效率，分工体系的形成有赖于龙头企业的辐射能力与公共服务的可得性。</w:t>
      </w:r>
    </w:p>
    <w:p>
      <w:pPr>
        <w:spacing w:lineRule="exact" w:line="600" w:after="0"/>
        <w:ind w:firstLine="420"/>
      </w:pPr>
      <w:r>
        <w:rPr>
          <w:rFonts w:ascii="仿宋_GB2312" w:hAnsi="仿宋_GB2312" w:eastAsia="仿宋_GB2312"/>
          <w:b w:val="0"/>
          <w:sz w:val="32"/>
        </w:rPr>
        <w:t>这种基于品牌与环节的分工，提高了整体运转效率，但也存在部分中小企业同质化竞争、对龙头依赖度较高等问题。通过强化版权协作与平台共享，可进一步优化集群内部分工与利益联结，清晰的分工降低了内部同质化竞争，提升了集群整体运行效率，分工体系的形成有赖于龙头企业的辐射能力与公共服务的可得性，应进一步以分工促协同，使中小企业在链条中找到稳定定位。</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引领、中小配套”的金字塔结构。相关企业150余家至170余家，其中规模以上文化企业约39家，龙头企业在营收、品牌与数字平台上占据主导，大量中小书业公司与印务企业构成配套基底，合理的规模结构有利于兼顾创新活力与产业稳定，避免大起大落，腰部企业是承接龙头溢出、支撑集群可持续增长的关键梯队。</w:t>
      </w:r>
    </w:p>
    <w:p>
      <w:pPr>
        <w:spacing w:lineRule="exact" w:line="600" w:after="0"/>
        <w:ind w:firstLine="420"/>
      </w:pPr>
      <w:r>
        <w:rPr>
          <w:rFonts w:ascii="仿宋_GB2312" w:hAnsi="仿宋_GB2312" w:eastAsia="仿宋_GB2312"/>
          <w:b w:val="0"/>
          <w:sz w:val="32"/>
        </w:rPr>
        <w:t>以金榜苑、天成、新坐标等为代表的大型文化教育出版企业，业务覆盖研发、出版、数字教育与发行全链条；中型书企聚焦特定学段或品类；小微研发工作室与印务厂则提供灵活配套，主体层次分明，合理的规模结构有利于兼顾创新活力与产业稳定，避免大起大落，腰部企业是承接龙头溢出、支撑集群可持续增长的关键梯队，应加大对成长型企业的要素倾斜，防止结构两头弱、中间虚。</w:t>
      </w:r>
    </w:p>
    <w:p>
      <w:pPr>
        <w:spacing w:lineRule="exact" w:line="600" w:after="0"/>
        <w:ind w:firstLine="420"/>
      </w:pPr>
      <w:r>
        <w:rPr>
          <w:rFonts w:ascii="仿宋_GB2312" w:hAnsi="仿宋_GB2312" w:eastAsia="仿宋_GB2312"/>
          <w:b w:val="0"/>
          <w:sz w:val="32"/>
        </w:rPr>
        <w:t>整体看，集群“大而强”的领军企业仍相对有限，多数中小企业规模偏小、抗政策波动能力弱。培育更多具有全国影响力的骨干企业、推动中小企业“专精特新”化，是优化规模结构的重要方向，合理的规模结构有利于兼顾创新活力与产业稳定，避免大起大落，腰部企业是承接龙头溢出、支撑集群可持续增长的关键梯队，应加大对成长型企业的要素倾斜，防止结构两头弱、中间虚。</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以民营资本为主导，市场机制灵活、决策高效。金榜苑、天成、新坐标等均为民营文化教育企业，部分拥有全国出版物总发行权或国家二级发行资质，民营书业的活跃是集群成长的根本动力，多元产权结构是集群保持市场敏感度和抗风险能力的重要基础，国资平台的介入弥补了早期项目高风险、长周期的市场失灵，后续应平衡国资引导与民企活力，防止行政化倾向削弱效率。</w:t>
      </w:r>
    </w:p>
    <w:p>
      <w:pPr>
        <w:spacing w:lineRule="exact" w:line="600" w:after="0"/>
        <w:ind w:firstLine="420"/>
      </w:pPr>
      <w:r>
        <w:rPr>
          <w:rFonts w:ascii="仿宋_GB2312" w:hAnsi="仿宋_GB2312" w:eastAsia="仿宋_GB2312"/>
          <w:b w:val="0"/>
          <w:sz w:val="32"/>
        </w:rPr>
        <w:t>在治理上，龙头企业逐步建立现代企业制度，引入职业经理人与数字化管理；部分企业通过股份制改造、产学研合作吸纳外部资源。小微企业多为家族或合伙经营，产权清晰但规范化程度参差不齐，多元产权结构是集群保持市场敏感度和抗风险能力的重要基础，国资平台的介入弥补了早期项目高风险、长周期的市场失灵，后续应平衡国资引导与民企活力，防止行政化倾向削弱效率。</w:t>
      </w:r>
    </w:p>
    <w:p>
      <w:pPr>
        <w:spacing w:lineRule="exact" w:line="600" w:after="0"/>
        <w:ind w:firstLine="420"/>
      </w:pPr>
      <w:r>
        <w:rPr>
          <w:rFonts w:ascii="仿宋_GB2312" w:hAnsi="仿宋_GB2312" w:eastAsia="仿宋_GB2312"/>
          <w:b w:val="0"/>
          <w:sz w:val="32"/>
        </w:rPr>
        <w:t>民营主导的产权格局激发了创新活力，但也带来家族式管理、代际传承与规范治理等挑战。完善公司治理、引导规范化股份制改造，有助于提升企业资本运作能力与长期竞争力，多元产权结构是集群保持市场敏感度和抗风险能力的重要基础，国资平台的介入弥补了早期项目高风险、长周期的市场失灵，后续应平衡国资引导与民企活力，防止行政化倾向削弱效率。</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集群头部企业以山东金榜苑文化传媒集团、山东天成教育集团、山东新坐标书业有限公司、水浒文化传媒等为代表。金榜苑、天成曾获全国出版物总发行权，入选2022年山东省高端品牌培育企业名单，头部企业的技术高度决定了集群在全国版图中的坐标位置，支持头部企业做优做强，是带动上下游协同升级的最有效抓手，应引导头部企业开放平台与订单，发挥链主对中小企业的牵引作用。</w:t>
      </w:r>
    </w:p>
    <w:p>
      <w:pPr>
        <w:spacing w:lineRule="exact" w:line="600" w:after="0"/>
        <w:ind w:firstLine="420"/>
      </w:pPr>
      <w:r>
        <w:rPr>
          <w:rFonts w:ascii="仿宋_GB2312" w:hAnsi="仿宋_GB2312" w:eastAsia="仿宋_GB2312"/>
          <w:b w:val="0"/>
          <w:sz w:val="32"/>
        </w:rPr>
        <w:t>金榜苑作为龙头，投资超10亿元推进数字出版文化产业园，产品年更新率超60%、与课标考纲符合率100%，其大数据AI精准教学方案已覆盖全国约5000所学校；新坐标“云教智学”平台落地20余省市、覆盖2000余所学校，头部企业的技术高度决定了集群在全国版图中的坐标位置，支持头部企业做优做强，是带动上下游协同升级的最有效抓手。</w:t>
      </w:r>
    </w:p>
    <w:p>
      <w:pPr>
        <w:spacing w:lineRule="exact" w:line="600" w:after="0"/>
        <w:ind w:firstLine="420"/>
      </w:pPr>
      <w:r>
        <w:rPr>
          <w:rFonts w:ascii="仿宋_GB2312" w:hAnsi="仿宋_GB2312" w:eastAsia="仿宋_GB2312"/>
          <w:b w:val="0"/>
          <w:sz w:val="32"/>
        </w:rPr>
        <w:t>头部企业还引入浪潮集团“产业大脑”项目，为图书赋码溯源、防伪打假。它们在前沿技术、品牌建设与国际资质上的引领，是集群竞争力与抗风险能力的重要支撑，但相较全国出版集团仍有体量差距，头部企业的技术高度决定了集群在全国版图中的坐标位置，支持头部企业做优做强，是带动上下游协同升级的最有效抓手，应引导头部企业开放平台与订单，发挥链主对中小企业的牵引作用。</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高度集聚于梁山出版印刷产业园及县城周边，形成“园区+骨干企业+配套印务”的空间形态。园区先后获评山东省重点文化产业园区、十佳文化产业园区及“中国出版物发行产业基地”，集聚效应显著，集聚不是企业的简单相加，而是创新链与资金链的有机耦合，空间上的临近降低了协作成本，放大了知识溢出的正外部性，应持续优化集聚生态，使物理集聚转化为真正的化学聚合。</w:t>
      </w:r>
    </w:p>
    <w:p>
      <w:pPr>
        <w:spacing w:lineRule="exact" w:line="600" w:after="0"/>
        <w:ind w:firstLine="420"/>
      </w:pPr>
      <w:r>
        <w:rPr>
          <w:rFonts w:ascii="仿宋_GB2312" w:hAnsi="仿宋_GB2312" w:eastAsia="仿宋_GB2312"/>
          <w:b w:val="0"/>
          <w:sz w:val="32"/>
        </w:rPr>
        <w:t>地理邻近带来显著的外部经济：共享的编辑人才池、集中的印刷产能、便捷的物流分拨与行业交流，降低了单个企业的协作成本，促进了版权、渠道与数字技术的快速扩散，强化了集群网络效应，集聚不是企业的简单相加，而是创新链与资金链的有机耦合，空间上的临近降低了协作成本，放大了知识溢出的正外部性，应持续优化集聚生态，使物理集聚转化为真正的化学聚合。</w:t>
      </w:r>
    </w:p>
    <w:p>
      <w:pPr>
        <w:spacing w:lineRule="exact" w:line="600" w:after="0"/>
        <w:ind w:firstLine="420"/>
      </w:pPr>
      <w:r>
        <w:rPr>
          <w:rFonts w:ascii="仿宋_GB2312" w:hAnsi="仿宋_GB2312" w:eastAsia="仿宋_GB2312"/>
          <w:b w:val="0"/>
          <w:sz w:val="32"/>
        </w:rPr>
        <w:t>同时，高度集聚也带来用地、环保与同质化竞争压力。通过园区功能分区、公共服务共享与差异化定位，可进一步释放集聚红利，避免低水平重复，提升空间集约利用效率，集聚不是企业的简单相加，而是创新链与资金链的有机耦合，空间上的临近降低了协作成本，放大了知识溢出的正外部性，应持续优化集聚生态，使物理集聚转化为真正的化学聚合。</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主要集中于龙头企业的内容研发与数字平台开发。教辅产品年更新率普遍超过60%，与课标考纲符合率达100%，反映出持续的内容迭代投入；数字教育平台的算法、资源与交互研发亦需稳定投入，高强度研发投入是先进制造集群区别于一般加工业的根本特征，政策激励与市场需求共同构成了企业持续投入研发的双引擎。</w:t>
      </w:r>
    </w:p>
    <w:p>
      <w:pPr>
        <w:spacing w:lineRule="exact" w:line="600" w:after="0"/>
        <w:ind w:firstLine="420"/>
      </w:pPr>
      <w:r>
        <w:rPr>
          <w:rFonts w:ascii="仿宋_GB2312" w:hAnsi="仿宋_GB2312" w:eastAsia="仿宋_GB2312"/>
          <w:b w:val="0"/>
          <w:sz w:val="32"/>
        </w:rPr>
        <w:t>部分龙头企业设立研发部门与大数据研究中心，如金榜苑与山东大学信息科学与工程学院共建大数据研究中心，新坐标组建数字研发专班攻关交互模块，产学研合作基地达10余处，研发投入组织化水平逐步提升，高强度研发投入是先进制造集群区别于一般加工业的根本特征，政策激励与市场需求共同构成了企业持续投入研发的双引擎，应引导企业把投入更多转向原创与核心技术，而非低水平重复。</w:t>
      </w:r>
    </w:p>
    <w:p>
      <w:pPr>
        <w:spacing w:lineRule="exact" w:line="600" w:after="0"/>
        <w:ind w:firstLine="420"/>
      </w:pPr>
      <w:r>
        <w:rPr>
          <w:rFonts w:ascii="仿宋_GB2312" w:hAnsi="仿宋_GB2312" w:eastAsia="仿宋_GB2312"/>
          <w:b w:val="0"/>
          <w:sz w:val="32"/>
        </w:rPr>
        <w:t>但广大中小企业研发能力偏弱，研发投入强度整体不均。推动建立公共研发与版权服务平台、引导中小企业联合创新，是补齐集群整体研发短板、增强创新可持续性的关键，高强度研发投入是先进制造集群区别于一般加工业的根本特征，政策激励与市场需求共同构成了企业持续投入研发的双引擎，应引导企业把投入更多转向原创与核心技术，而非低水平重复。</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方面，集群在传统教辅内容体系之外，孵化出“91淘课网”“中国好课堂”“师说365”“云教智学”“新教育智能平台”等在线教育平台，实现纸媒与数媒融合，部分平台已覆盖数千所学校，创新产出的数量与质量，是衡量集群核心竞争力的最直接指标，新产品与新技术持续涌现，说明集群已初步建立起良性的研发循环，应巩固产出优势，在前沿赛道形成更多具有影响力的成果。</w:t>
      </w:r>
    </w:p>
    <w:p>
      <w:pPr>
        <w:spacing w:lineRule="exact" w:line="600" w:after="0"/>
        <w:ind w:firstLine="420"/>
      </w:pPr>
      <w:r>
        <w:rPr>
          <w:rFonts w:ascii="仿宋_GB2312" w:hAnsi="仿宋_GB2312" w:eastAsia="仿宋_GB2312"/>
          <w:b w:val="0"/>
          <w:sz w:val="32"/>
        </w:rPr>
        <w:t>在制造端，金榜苑建成国内首条全自动采集塑封联动线，每小时包装4200本，整体效率提高20%、综合成本降低20%；引入浪潮“产业大脑”实现图书赋码溯源，体现了工艺与数字化创新产出，创新产出的数量与质量，是衡量集群核心竞争力的最直接指标，新产品与新技术持续涌现，说明集群已初步建立起良性的研发循环，应巩固产出优势，在前沿赛道形成更多具有影响力的成果。</w:t>
      </w:r>
    </w:p>
    <w:p>
      <w:pPr>
        <w:spacing w:lineRule="exact" w:line="600" w:after="0"/>
        <w:ind w:firstLine="420"/>
      </w:pPr>
      <w:r>
        <w:rPr>
          <w:rFonts w:ascii="仿宋_GB2312" w:hAnsi="仿宋_GB2312" w:eastAsia="仿宋_GB2312"/>
          <w:b w:val="0"/>
          <w:sz w:val="32"/>
        </w:rPr>
        <w:t>版权方面，集群拥有中国驰名商标2个、全国版权示范单位3家、国家软件正版化示范单位1家、省级版权示范单位3家，版权创造与保护产出较为可观，但具有全国影响力的原创IP仍待进一步积累，创新产出的数量与质量，是衡量集群核心竞争力的最直接指标，新产品与新技术持续涌现，说明集群已初步建立起良性的研发循环，应巩固产出优势，在前沿赛道形成更多具有影响力的成果。</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依托梁山出版印刷产业园及“一园一区四中心”架构搭建创新载体，包括省级出版产品质量监督检测中心、未来教育体验中心、教育服务孵化中心、教育服务商品博览及商务中心，为研发与转化提供公共支撑，高能级平台是降低中小企业创新门槛、提升区域能级的关键基础设施，平台的专业化与共享程度，直接影响成果转化的速度与成本。</w:t>
      </w:r>
    </w:p>
    <w:p>
      <w:pPr>
        <w:spacing w:lineRule="exact" w:line="600" w:after="0"/>
        <w:ind w:firstLine="420"/>
      </w:pPr>
      <w:r>
        <w:rPr>
          <w:rFonts w:ascii="仿宋_GB2312" w:hAnsi="仿宋_GB2312" w:eastAsia="仿宋_GB2312"/>
          <w:b w:val="0"/>
          <w:sz w:val="32"/>
        </w:rPr>
        <w:t>企业与高校共建的山东大学金榜苑大数据研究中心、各类产学研合作基地与实习基地，构成技术创新与人才培育平台；行业论坛（如中国梁山教育图书信息化发展论坛）则成为技术交流与生态合作的开放平台，高能级平台是降低中小企业创新门槛、提升区域能级的关键基础设施，平台的专业化与共享程度，直接影响成果转化的速度与成本。</w:t>
      </w:r>
    </w:p>
    <w:p>
      <w:pPr>
        <w:spacing w:lineRule="exact" w:line="600" w:after="0"/>
        <w:ind w:firstLine="420"/>
      </w:pPr>
      <w:r>
        <w:rPr>
          <w:rFonts w:ascii="仿宋_GB2312" w:hAnsi="仿宋_GB2312" w:eastAsia="仿宋_GB2312"/>
          <w:b w:val="0"/>
          <w:sz w:val="32"/>
        </w:rPr>
        <w:t>但高水平共性技术平台、公共数字基础设施仍显不足。补齐公共创新服务平台短板、引入更多科研与出版资源，将提升创新资源共享与配置效率，惠及广大中小企业，高能级平台是降低中小企业创新门槛、提升区域能级的关键基础设施，平台的专业化与共享程度，直接影响成果转化的速度与成本，应推动平台纵向贯通研发到审批，横向链接更多企业与机构。</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企业研发—平台上线—学校应用”的路径为主。龙头企业的数字平台与智能产线迅速投入运营，如金榜苑新项目提前竣工、新坐标“云教智学”快速落地校园，转化链条较为顺畅，转化效率关乎研发投入能否真正变为产业增量，是集群生命力所在，中试与共享平台显著压缩了从样品到商品的鸿沟，价值突出，应进一步完善转化闭环，使更多成果在本地实现产业化。</w:t>
      </w:r>
    </w:p>
    <w:p>
      <w:pPr>
        <w:spacing w:lineRule="exact" w:line="600" w:after="0"/>
        <w:ind w:firstLine="420"/>
      </w:pPr>
      <w:r>
        <w:rPr>
          <w:rFonts w:ascii="仿宋_GB2312" w:hAnsi="仿宋_GB2312" w:eastAsia="仿宋_GB2312"/>
          <w:b w:val="0"/>
          <w:sz w:val="32"/>
        </w:rPr>
        <w:t>在制造环节，全自动分拣塑封线、智能仓储与赋码溯源系统直接转化为产能与防伪能力，缩短了交付周期、降低了盗版损失，体现了技术成果向经营实效的高效转化，转化效率关乎研发投入能否真正变为产业增量，是集群生命力所在，中试与共享平台显著压缩了从样品到商品的鸿沟，价值突出，应进一步完善转化闭环，使更多成果在本地实现产业化。</w:t>
      </w:r>
    </w:p>
    <w:p>
      <w:pPr>
        <w:spacing w:lineRule="exact" w:line="600" w:after="0"/>
        <w:ind w:firstLine="420"/>
      </w:pPr>
      <w:r>
        <w:rPr>
          <w:rFonts w:ascii="仿宋_GB2312" w:hAnsi="仿宋_GB2312" w:eastAsia="仿宋_GB2312"/>
          <w:b w:val="0"/>
          <w:sz w:val="32"/>
        </w:rPr>
        <w:t>然而，中小企业对新技术的承接能力不均，部分仍沿用传统编印模式。加强对中小书企的数字化培训与平台赋能、完善成果转化利益联结，是提高整体技术转化率的重要抓手，转化效率关乎研发投入能否真正变为产业增量，是集群生命力所在，中试与共享平台显著压缩了从样品到商品的鸿沟，价值突出，应进一步完善转化闭环，使更多成果在本地实现产业化。</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拥有庞大的编辑策划、排版校对、印刷与发行人才队伍，早期曾直接从事图书研发和印刷人员达3万余人。长期的产业积淀使梁山形成了富有经验的文化产业劳动力池与创业传统，人才是产业集群的第一资源，也是当前最突出的约束条件之一，引才与育才并重，方能构建稳定可持续的产业人才供应链，应针对紧缺方向精准施策，避免人才政策泛化导致边际效益递减。</w:t>
      </w:r>
    </w:p>
    <w:p>
      <w:pPr>
        <w:spacing w:lineRule="exact" w:line="600" w:after="0"/>
        <w:ind w:firstLine="420"/>
      </w:pPr>
      <w:r>
        <w:rPr>
          <w:rFonts w:ascii="仿宋_GB2312" w:hAnsi="仿宋_GB2312" w:eastAsia="仿宋_GB2312"/>
          <w:b w:val="0"/>
          <w:sz w:val="32"/>
        </w:rPr>
        <w:t>随着数字化转型，集群对数字研发、教育产品设计与运营人才需求上升。龙头企业通过自建团队与校企合补充人才，但高端算法、产品与版权运营人才仍存在缺口，人才结构面临升级压力，人才是产业集群的第一资源，也是当前最突出的约束条件之一，引才与育才并重，方能构建稳定可持续的产业人才供应链，应针对紧缺方向精准施策，避免人才政策泛化导致边际效益递减。</w:t>
      </w:r>
    </w:p>
    <w:p>
      <w:pPr>
        <w:spacing w:lineRule="exact" w:line="600" w:after="0"/>
        <w:ind w:firstLine="420"/>
      </w:pPr>
      <w:r>
        <w:rPr>
          <w:rFonts w:ascii="仿宋_GB2312" w:hAnsi="仿宋_GB2312" w:eastAsia="仿宋_GB2312"/>
          <w:b w:val="0"/>
          <w:sz w:val="32"/>
        </w:rPr>
        <w:t>劳动力成本相较一线城市总体可控，为劳动密集的编印与客服环节提供了成本优势。但青年从业意愿与人才外流，是集群劳动力要素面临的长期结构性挑战，需以事业平台与待遇留人，人才是产业集群的第一资源，也是当前最突出的约束条件之一，引才与育才并重，方能构建稳定可持续的产业人才供应链，应针对紧缺方向精准施策，避免人才政策泛化导致边际效益递减。</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教辅产业的研发与印刷装备投入较大，资本要素主要体现在龙头企业投资、民营自筹与项目融资。金榜苑数字出版文化产业园投资超10亿元，经典印务等项目亦为重资产投入，资本可得性影响扩张速度，资本供给的充裕度，直接决定高投入、长周期项目的存活概率，政府引导基金与市场资本互为补充，形成多层次资金支持体系，应拓宽早期投资渠道，缓解中小企业从研发到量产的资金断层。</w:t>
      </w:r>
    </w:p>
    <w:p>
      <w:pPr>
        <w:spacing w:lineRule="exact" w:line="600" w:after="0"/>
        <w:ind w:firstLine="420"/>
      </w:pPr>
      <w:r>
        <w:rPr>
          <w:rFonts w:ascii="仿宋_GB2312" w:hAnsi="仿宋_GB2312" w:eastAsia="仿宋_GB2312"/>
          <w:b w:val="0"/>
          <w:sz w:val="32"/>
        </w:rPr>
        <w:t>近年来，梁山县通过争取山东省绿色低碳高质量发展项目、提供土地与政策支持等方式，引导资本流向数字出版与智能印刷；续建新建项目总投资超50亿元，资本供给总体活跃，资本供给的充裕度，直接决定高投入、长周期项目的存活概率，政府引导基金与市场资本互为补充，形成多层次资金支持体系，应拓宽早期投资渠道，缓解中小企业从研发到量产的资金断层。</w:t>
      </w:r>
    </w:p>
    <w:p>
      <w:pPr>
        <w:spacing w:lineRule="exact" w:line="600" w:after="0"/>
        <w:ind w:firstLine="420"/>
      </w:pPr>
      <w:r>
        <w:rPr>
          <w:rFonts w:ascii="仿宋_GB2312" w:hAnsi="仿宋_GB2312" w:eastAsia="仿宋_GB2312"/>
          <w:b w:val="0"/>
          <w:sz w:val="32"/>
        </w:rPr>
        <w:t>但中小书企获取低成本长期资金渠道仍有限。完善文化金融、推广版权质押与供应链金融，缓解中小主体融资难，并引导社会资本参与数字教育新业态，是优化资本结构的重要方向，资本供给的充裕度，直接决定高投入、长周期项目的存活概率，政府引导基金与市场资本互为补充，形成多层次资金支持体系，应拓宽早期投资渠道，缓解中小企业从研发到量产的资金断层。</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集群发展需要产业园区与物流用地，梁山县规划建设梁山出版印刷产业园，并通过“走百企 办实事”等行动为龙头项目争取145亩土地指标，土地要素供给总体得到保障，支撑了园区集纳式扩张，集约节约用地是集群在有限空间内实现高质量发展的现实要求，绿色低碳属性使集群契合双碳目标，具备长期环境承载力，应在保障用地的同时强化能耗与安全管理，守住生态底线。</w:t>
      </w:r>
    </w:p>
    <w:p>
      <w:pPr>
        <w:spacing w:lineRule="exact" w:line="600" w:after="0"/>
        <w:ind w:firstLine="420"/>
      </w:pPr>
      <w:r>
        <w:rPr>
          <w:rFonts w:ascii="仿宋_GB2312" w:hAnsi="仿宋_GB2312" w:eastAsia="仿宋_GB2312"/>
          <w:b w:val="0"/>
          <w:sz w:val="32"/>
        </w:rPr>
        <w:t>能耗方面，印刷、装订与仓储物流为主要耗能环节，相较重化工业能耗偏低，但纸媒生产仍涉及纸张消耗与油墨环保问题。智能产线与集中供热供气的推广，有助于提升单位能效、降低环境负荷，集约节约用地是集群在有限空间内实现高质量发展的现实要求，绿色低碳属性使集群契合双碳目标，具备长期环境承载力，应在保障用地的同时强化能耗与安全管理，守住生态底线。</w:t>
      </w:r>
    </w:p>
    <w:p>
      <w:pPr>
        <w:spacing w:lineRule="exact" w:line="600" w:after="0"/>
        <w:ind w:firstLine="420"/>
      </w:pPr>
      <w:r>
        <w:rPr>
          <w:rFonts w:ascii="仿宋_GB2312" w:hAnsi="仿宋_GB2312" w:eastAsia="仿宋_GB2312"/>
          <w:b w:val="0"/>
          <w:sz w:val="32"/>
        </w:rPr>
        <w:t>面向绿色制造，推广环保油墨、数字化印刷与节能仓储，是土地能耗要素优化方向。在保障产能的同时提升资源利用效率，将增强集群绿色生产与可持续发展的能力，集约节约用地是集群在有限空间内实现高质量发展的现实要求，绿色低碳属性使集群契合双碳目标，具备长期环境承载力，应在保障用地的同时强化能耗与安全管理，守住生态底线。</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纸张、油墨、胶片及包装物料为主，供应渠道成熟、采购便捷，依托全国印刷物料市场与本地配套，物料成本总体可控，保障了大规模教辅生产的稳定供给，关键原材料的自主可控，是集群应对外部不确定性的底线能力，本地配套能力的提升，有助于降低物流与供应链中断风险，应围绕瓶颈原料布局替代与储备，增强产业链韧性。</w:t>
      </w:r>
    </w:p>
    <w:p>
      <w:pPr>
        <w:spacing w:lineRule="exact" w:line="600" w:after="0"/>
        <w:ind w:firstLine="420"/>
      </w:pPr>
      <w:r>
        <w:rPr>
          <w:rFonts w:ascii="仿宋_GB2312" w:hAnsi="仿宋_GB2312" w:eastAsia="仿宋_GB2312"/>
          <w:b w:val="0"/>
          <w:sz w:val="32"/>
        </w:rPr>
        <w:t>在内容资源上，集群与人民教育出版社、山东教育出版社等200余家知名出版社合作，获取正版教材与授权资源，内容原料的合规性与丰富度较高，为教辅研发提供了坚实的“上游材料”基础，关键原材料的自主可控，是集群应对外部不确定性的底线能力，本地配套能力的提升，有助于降低物流与供应链中断风险，应围绕瓶颈原料布局替代与储备，增强产业链韧性。</w:t>
      </w:r>
    </w:p>
    <w:p>
      <w:pPr>
        <w:spacing w:lineRule="exact" w:line="600" w:after="0"/>
        <w:ind w:firstLine="420"/>
      </w:pPr>
      <w:r>
        <w:rPr>
          <w:rFonts w:ascii="仿宋_GB2312" w:hAnsi="仿宋_GB2312" w:eastAsia="仿宋_GB2312"/>
          <w:b w:val="0"/>
          <w:sz w:val="32"/>
        </w:rPr>
        <w:t>但高端特种纸、环保材料与部分智能印刷耗材仍依赖外部，原创版权内容的自主积累也有待加强。强化本地物料研发替代与多元供应、加大原创内容储备，是保障生产稳定的重要基础，关键原材料的自主可控，是集群应对外部不确定性的底线能力，本地配套能力的提升，有助于降低物流与供应链中断风险，应围绕瓶颈原料布局替代与储备，增强产业链韧性。</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梁山教辅图书发行范围覆盖全国除港澳台以外的所有省市自治区，销售网络遍及各地新华书店、民营书店与学校渠道，高中教辅在全国市场占据约三分之一份额，是国内教辅版图中的重要货源地与策源地，国内超大规模市场为产品放量提供了得天独厚的需求基础，渠道下沉与品牌认知提升，显著扩大了优质产品的可及性，应继续深耕国内市场，以规模优势支撑研发与制造持续投入。</w:t>
      </w:r>
    </w:p>
    <w:p>
      <w:pPr>
        <w:spacing w:lineRule="exact" w:line="600" w:after="0"/>
        <w:ind w:firstLine="420"/>
      </w:pPr>
      <w:r>
        <w:rPr>
          <w:rFonts w:ascii="仿宋_GB2312" w:hAnsi="仿宋_GB2312" w:eastAsia="仿宋_GB2312"/>
          <w:b w:val="0"/>
          <w:sz w:val="32"/>
        </w:rPr>
        <w:t>国内市场以B端批发与学校征订为主，电商与线上平台逐步兴起。集群凭借“三分天下有其一”的渠道优势，在高中教辅细分领域具备较强的市场控制力与议价能力，品牌认知度较高，国内超大规模市场为产品放量提供了得天独厚的需求基础，渠道下沉与品牌认知提升，显著扩大了优质产品的可及性，应继续深耕国内市场，以规模优势支撑研发与制造持续投入。</w:t>
      </w:r>
    </w:p>
    <w:p>
      <w:pPr>
        <w:spacing w:lineRule="exact" w:line="600" w:after="0"/>
        <w:ind w:firstLine="420"/>
      </w:pPr>
      <w:r>
        <w:rPr>
          <w:rFonts w:ascii="仿宋_GB2312" w:hAnsi="仿宋_GB2312" w:eastAsia="仿宋_GB2312"/>
          <w:b w:val="0"/>
          <w:sz w:val="32"/>
        </w:rPr>
        <w:t>国内市场需求受升学与教材改革驱动，总体规模稳定但结构变化快。集群需强化与课标同步的研发能力、完善分级渠道与物流服务，以稳固国内市场份额并提升单位价值，国内超大规模市场为产品放量提供了得天独厚的需求基础，渠道下沉与品牌认知提升，显著扩大了优质产品的可及性，应继续深耕国内市场，以规模优势支撑研发与制造持续投入。</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相较外向型制造集群，梁山教辅以国内市场需求为主，直接外贸出口规模有限。教辅内容高度依赖本国课标与考试体系，海外华文教育市场虽存需求，但整体出口占比较小，外向度偏低，出口与出海标志着集群技术实力获得外部认可，也带来可观收益，国际化进程仍受制于注册能力与本地化渠道，需稳步补强，应在保护核心权益前提下，稳妥拓展全球市场合作空间。</w:t>
      </w:r>
    </w:p>
    <w:p>
      <w:pPr>
        <w:spacing w:lineRule="exact" w:line="600" w:after="0"/>
        <w:ind w:firstLine="420"/>
      </w:pPr>
      <w:r>
        <w:rPr>
          <w:rFonts w:ascii="仿宋_GB2312" w:hAnsi="仿宋_GB2312" w:eastAsia="仿宋_GB2312"/>
          <w:b w:val="0"/>
          <w:sz w:val="32"/>
        </w:rPr>
        <w:t>在数字服务出海方面，集群智慧教育平台主要服务国内学校，国际化布局尚处起步阶段。少数版权与数字产品可通过华文教育渠道试水海外，但并非当前集群的主要增长极，出口与出海标志着集群技术实力获得外部认可，也带来可观收益，国际化进程仍受制于注册能力与本地化渠道，需稳步补强，应在保护核心权益前提下，稳妥拓展全球市场合作空间。</w:t>
      </w:r>
    </w:p>
    <w:p>
      <w:pPr>
        <w:spacing w:lineRule="exact" w:line="600" w:after="0"/>
        <w:ind w:firstLine="420"/>
      </w:pPr>
      <w:r>
        <w:rPr>
          <w:rFonts w:ascii="仿宋_GB2312" w:hAnsi="仿宋_GB2312" w:eastAsia="仿宋_GB2312"/>
          <w:b w:val="0"/>
          <w:sz w:val="32"/>
        </w:rPr>
        <w:t>提升外向度并非集群优先方向，更现实的是深耕国内、以数字平台辐射海外华文市场。若拓展出口，需应对内容本地化、版权合规与跨境物流等挑战，宜稳妥审慎推进，出口与出海标志着集群技术实力获得外部认可，也带来可观收益，国际化进程仍受制于注册能力与本地化渠道，需稳步补强，应在保护核心权益前提下，稳妥拓展全球市场合作空间。</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成效显著，拥有中国驰名商标2个，金榜苑、天成、水浒文化传媒等龙头企业品牌影响力突出，并入选山东省高端品牌培育企业。区域层面，“梁山教辅”已成为全国知名的产业地标，区域品牌与企业品牌相互成就，共同提升集群的市场话语权，质量与标准建设是品牌长青的根基，须常抓不懈，应持续放大品牌效应，以品牌溢价对冲成本上升压力。</w:t>
      </w:r>
    </w:p>
    <w:p>
      <w:pPr>
        <w:spacing w:lineRule="exact" w:line="600" w:after="0"/>
        <w:ind w:firstLine="420"/>
      </w:pPr>
      <w:r>
        <w:rPr>
          <w:rFonts w:ascii="仿宋_GB2312" w:hAnsi="仿宋_GB2312" w:eastAsia="仿宋_GB2312"/>
          <w:b w:val="0"/>
          <w:sz w:val="32"/>
        </w:rPr>
        <w:t>在版权品牌上，集群拥有全国版权示范单位3家、国家软件正版化示范单位1家、省级版权示范单位3家，正积极创建全国版权示范基地，品牌与版权资产成为核心竞争力的重要组成，区域品牌与企业品牌相互成就，共同提升集群的市场话语权，质量与标准建设是品牌长青的根基，须常抓不懈，应持续放大品牌效应，以品牌溢价对冲成本上升压力。</w:t>
      </w:r>
    </w:p>
    <w:p>
      <w:pPr>
        <w:spacing w:lineRule="exact" w:line="600" w:after="0"/>
        <w:ind w:firstLine="420"/>
      </w:pPr>
      <w:r>
        <w:rPr>
          <w:rFonts w:ascii="仿宋_GB2312" w:hAnsi="仿宋_GB2312" w:eastAsia="仿宋_GB2312"/>
          <w:b w:val="0"/>
          <w:sz w:val="32"/>
        </w:rPr>
        <w:t>品牌建设仍需在标准统一、知识产权保护与联合营销上发力。强化地理标志与品牌授权管理、加大统一推广，有助于将品牌优势更充分转化为市场与价格优势，区域品牌与企业品牌相互成就，共同提升集群的市场话语权，质量与标准建设是品牌长青的根基，须常抓不懈，应持续放大品牌效应，以品牌溢价对冲成本上升压力，区域品牌与企业品牌相互成就，共同提升集群的市场话语权。</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政策驱动与数字化双重变化。“双减”等政策使传统教辅市场结构性收缩，学校与家庭对素养类、精准化、个性化学习资源需求上升，倒逼供给向高质量与差异化转型，需求结构的演变倒逼供给升级，集群须保持对市场的敏锐响应，消费升级与人口结构变化，为集群打开了长期稳定的需求空间，应围绕需求变化前瞻布局产品，避免供需错配造成产能闲置。</w:t>
      </w:r>
    </w:p>
    <w:p>
      <w:pPr>
        <w:spacing w:lineRule="exact" w:line="600" w:after="0"/>
        <w:ind w:firstLine="420"/>
      </w:pPr>
      <w:r>
        <w:rPr>
          <w:rFonts w:ascii="仿宋_GB2312" w:hAnsi="仿宋_GB2312" w:eastAsia="仿宋_GB2312"/>
          <w:b w:val="0"/>
          <w:sz w:val="32"/>
        </w:rPr>
        <w:t>教育数字化战略推动学校采购智慧教育平台与精准教学服务，终端用户更青睐“纸媒+数媒”融合产品。金榜苑、新坐标等平台的学校覆盖快速增长，反映需求向服务化、订阅化迁移，需求结构的演变倒逼供给升级，集群须保持对市场的敏锐响应，消费升级与人口结构变化，为集群打开了长期稳定的需求空间，应围绕需求变化前瞻布局产品，避免供需错配造成产能闲置。</w:t>
      </w:r>
    </w:p>
    <w:p>
      <w:pPr>
        <w:spacing w:lineRule="exact" w:line="600" w:after="0"/>
        <w:ind w:firstLine="420"/>
      </w:pPr>
      <w:r>
        <w:rPr>
          <w:rFonts w:ascii="仿宋_GB2312" w:hAnsi="仿宋_GB2312" w:eastAsia="仿宋_GB2312"/>
          <w:b w:val="0"/>
          <w:sz w:val="32"/>
        </w:rPr>
        <w:t>面对需求变化，集群需加快产品结构调整，强化AI精准教学与内容版权，以柔性供给捕捉政策与市场红利，推动从“卖书”向“提供教育服务解决方案”转变，需求结构的演变倒逼供给升级，集群须保持对市场的敏锐响应，消费升级与人口结构变化，为集群打开了长期稳定的需求空间，应围绕需求变化前瞻布局产品，避免供需错配造成产能闲置。</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教辅出版竞争激烈，国有出版集团与北京、江苏、湖北等地民营书业各具优势。梁山凭借渠道规模与全链条能力在高中教辅占据约三分之一份额，但面临国有大社数字化挤压与异地书企追赶，面对先发地区挤压，差异化定位是后发集群突围的现实选择，竞争既是压力也是动力，有利于倒逼集群提升内生能力，应扬长避短，在优势赛道构筑难以复制的比较优势。</w:t>
      </w:r>
    </w:p>
    <w:p>
      <w:pPr>
        <w:spacing w:lineRule="exact" w:line="600" w:after="0"/>
        <w:ind w:firstLine="420"/>
      </w:pPr>
      <w:r>
        <w:rPr>
          <w:rFonts w:ascii="仿宋_GB2312" w:hAnsi="仿宋_GB2312" w:eastAsia="仿宋_GB2312"/>
          <w:b w:val="0"/>
          <w:sz w:val="32"/>
        </w:rPr>
        <w:t>在版权与数字平台维度，头部教育科技公司掌握流量与数据壁垒，对民营书企形成跨界竞争。区域间对优质内容人才与发行渠道的争夺趋于激烈，竞争维度由品种规模转向版权与技术服务，面对先发地区挤压，差异化定位是后发集群突围的现实选择，竞争既是压力也是动力，有利于倒逼集群提升内生能力，应扬长避短，在优势赛道构筑难以复制的比较优势。</w:t>
      </w:r>
    </w:p>
    <w:p>
      <w:pPr>
        <w:spacing w:lineRule="exact" w:line="600" w:after="0"/>
        <w:ind w:firstLine="420"/>
      </w:pPr>
      <w:r>
        <w:rPr>
          <w:rFonts w:ascii="仿宋_GB2312" w:hAnsi="仿宋_GB2312" w:eastAsia="仿宋_GB2312"/>
          <w:b w:val="0"/>
          <w:sz w:val="32"/>
        </w:rPr>
        <w:t>梁山应立足渠道与制造优势，错位发展高中教辅强势单品与智慧教育服务，强化“内容+平台+物流”综合能力，以差异化竞争巩固在全国教辅版图中的独特地位，面对先发地区挤压，差异化定位是后发集群突围的现实选择，竞争既是压力也是动力，有利于倒逼集群提升内生能力，应扬长避短，在优势赛道构筑难以复制的比较优势，面对先发地区挤压，差异化定位是后发集群突围的现实选择。</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同质化竞争与组织化程度不均问题。部分中小书企产品雷同、拼价销售，易引发内卷；龙头与中小配套间的利益联结虽存在，但紧密型、股份化联结比例仍有提升空间，内部问题的化解程度，决定集群能否由规模优势转向质量优势，中小企业整体跃升，是补齐内部短板的主要着力点，应对问题分类施策，防止一刀切式治理损伤市场活力。</w:t>
      </w:r>
    </w:p>
    <w:p>
      <w:pPr>
        <w:spacing w:lineRule="exact" w:line="600" w:after="0"/>
        <w:ind w:firstLine="420"/>
      </w:pPr>
      <w:r>
        <w:rPr>
          <w:rFonts w:ascii="仿宋_GB2312" w:hAnsi="仿宋_GB2312" w:eastAsia="仿宋_GB2312"/>
          <w:b w:val="0"/>
          <w:sz w:val="32"/>
        </w:rPr>
        <w:t>内容原创能力与版权沉淀不足，多数企业依赖课标同步教辅，受政策调整冲击大；中小主体数字化能力弱、规范治理有待加强，影响整体产品一致性与品牌信誉，制约集群向中高端跃升，内部问题的化解程度，决定集群能否由规模优势转向质量优势，中小企业整体跃升，是补齐内部短板的主要着力点，应对问题分类施策，防止一刀切式治理损伤市场活力。</w:t>
      </w:r>
    </w:p>
    <w:p>
      <w:pPr>
        <w:spacing w:lineRule="exact" w:line="600" w:after="0"/>
        <w:ind w:firstLine="420"/>
      </w:pPr>
      <w:r>
        <w:rPr>
          <w:rFonts w:ascii="仿宋_GB2312" w:hAnsi="仿宋_GB2312" w:eastAsia="仿宋_GB2312"/>
          <w:b w:val="0"/>
          <w:sz w:val="32"/>
        </w:rPr>
        <w:t>此外，版权保护与反盗版压力较大，市场上假冒伪劣书籍对企业造成损失。通过强化协会协调、统一标准与赋码溯源，可有效化解内部无序竞争，提升集群整体协同水平，内部问题的化解程度，决定集群能否由规模优势转向质量优势，中小企业整体跃升，是补齐内部短板的主要着力点，应对问题分类施策，防止一刀切式治理损伤市场活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教育政策变动。教改、“双减”及教材版本调整直接影响教辅需求结构与体量，传统纸媒教辅市场日趋萎缩，政策不确定性是集群面临的最大系统性风险，外部风险的复杂性要求集群建立常态化预警与应对机制，在不确定环境中保持战略定力，是集群行稳致远的前提，应以韧性建设对冲风险，提升极端情形下的生存与恢复能力。</w:t>
      </w:r>
    </w:p>
    <w:p>
      <w:pPr>
        <w:spacing w:lineRule="exact" w:line="600" w:after="0"/>
        <w:ind w:firstLine="420"/>
      </w:pPr>
      <w:r>
        <w:rPr>
          <w:rFonts w:ascii="仿宋_GB2312" w:hAnsi="仿宋_GB2312" w:eastAsia="仿宋_GB2312"/>
          <w:b w:val="0"/>
          <w:sz w:val="32"/>
        </w:rPr>
        <w:t>版权与合规风险亦不容忽视，教材授权、内容审查与发行资质监管趋严，对中小企业合规能力提出更高要求；数字平台的数据安全与盗版问题 likewise 影响经营稳定，外部风险的复杂性要求集群建立常态化预警与应对机制，在不确定环境中保持战略定力，是集群行稳致远的前提，应以韧性建设对冲风险，提升极端情形下的生存与恢复能力。</w:t>
      </w:r>
    </w:p>
    <w:p>
      <w:pPr>
        <w:spacing w:lineRule="exact" w:line="600" w:after="0"/>
        <w:ind w:firstLine="420"/>
      </w:pPr>
      <w:r>
        <w:rPr>
          <w:rFonts w:ascii="仿宋_GB2312" w:hAnsi="仿宋_GB2312" w:eastAsia="仿宋_GB2312"/>
          <w:b w:val="0"/>
          <w:sz w:val="32"/>
        </w:rPr>
        <w:t>应对外部风险，需建立政策研判与产品快速迭代机制，分散品类与学段依赖，拓展数字服务与素养教育新赛道，并完善版权保险与合规体系，提升集群整体韧性与抗冲击能力，外部风险的复杂性要求集群建立常态化预警与应对机制，在不确定环境中保持战略定力，是集群行稳致远的前提，应以韧性建设对冲风险，提升极端情形下的生存与恢复能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从省级层面看，山东省将特色产业集群与“十强”产业“雁阵形”集群培育作为重点，文化和数字产业相关政策为梁山下教辅集群提供了顶层依据，教育数字化与版权强国战略亦与之高度契合，顶层设计的清晰与否，直接关系集群资源投放的方向与效率，链长制等机制抓住了产业链协同的牛鼻子，是行之有效的治理创新，应保持政策连续稳定，给市场主体以明确可预期的发展环境。</w:t>
      </w:r>
    </w:p>
    <w:p>
      <w:pPr>
        <w:spacing w:lineRule="exact" w:line="600" w:after="0"/>
        <w:ind w:firstLine="420"/>
      </w:pPr>
      <w:r>
        <w:rPr>
          <w:rFonts w:ascii="仿宋_GB2312" w:hAnsi="仿宋_GB2312" w:eastAsia="仿宋_GB2312"/>
          <w:b w:val="0"/>
          <w:sz w:val="32"/>
        </w:rPr>
        <w:t>国家关于新闻出版、版权保护与教育信息化的政策导向，引导集群规范发展与数字化转型。梁山教辅入选山东省中小企业特色产业集群，正是落实省级集群培育部署的具体体现，享受政策叠加红利，顶层设计的清晰与否，直接关系集群资源投放的方向与效率，链长制等机制抓住了产业链协同的牛鼻子，是行之有效的治理创新，应保持政策连续稳定，给市场主体以明确可预期的发展环境。</w:t>
      </w:r>
    </w:p>
    <w:p>
      <w:pPr>
        <w:spacing w:lineRule="exact" w:line="600" w:after="0"/>
        <w:ind w:firstLine="420"/>
      </w:pPr>
      <w:r>
        <w:rPr>
          <w:rFonts w:ascii="仿宋_GB2312" w:hAnsi="仿宋_GB2312" w:eastAsia="仿宋_GB2312"/>
          <w:b w:val="0"/>
          <w:sz w:val="32"/>
        </w:rPr>
        <w:t>顶层政策强调规范化、品牌化与融合化，要求集群在版权保护、绿色发展与数字转型上持续发力。梁山应紧扣导向，争取更多试点示范，将政策优势转化为产业集群发展实效，顶层设计的清晰与否，直接关系集群资源投放的方向与效率，链长制等机制抓住了产业链协同的牛鼻子，是行之有效的治理创新，应保持政策连续稳定，给市场主体以明确可预期的发展环境。</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梁山县将文化教育产业列为全县支柱产业重点培植，早在1998年设立梁山经济开发区并规划建设出版印刷产业园，2004年成立全国少见的独立建制县新闻出版局，以专门机构服务书业发展，地方扶持的精准度，体现在资金、用地、审批等要素的协同到位，资本招商是关键一招，有效撬动了社会资本跟进集聚，应提升服务便利化水平，把政策红利转化为企业实实在在的获得感。</w:t>
      </w:r>
    </w:p>
    <w:p>
      <w:pPr>
        <w:spacing w:lineRule="exact" w:line="600" w:after="0"/>
        <w:ind w:firstLine="420"/>
      </w:pPr>
      <w:r>
        <w:rPr>
          <w:rFonts w:ascii="仿宋_GB2312" w:hAnsi="仿宋_GB2312" w:eastAsia="仿宋_GB2312"/>
          <w:b w:val="0"/>
          <w:sz w:val="32"/>
        </w:rPr>
        <w:t>地方扶持还包括土地保障（如为金榜苑项目争取145亩指标）、项目申报（山东省绿色低碳高质量发展项目）、驻企专员“走百企 办实事”等精准服务，助力企业数字化转型与项目提前投产，地方扶持的精准度，体现在资金、用地、审批等要素的协同到位，资本招商是关键一招，有效撬动了社会资本跟进集聚，应提升服务便利化水平，把政策红利转化为企业实实在在的获得感。</w:t>
      </w:r>
    </w:p>
    <w:p>
      <w:pPr>
        <w:spacing w:lineRule="exact" w:line="600" w:after="0"/>
        <w:ind w:firstLine="420"/>
      </w:pPr>
      <w:r>
        <w:rPr>
          <w:rFonts w:ascii="仿宋_GB2312" w:hAnsi="仿宋_GB2312" w:eastAsia="仿宋_GB2312"/>
          <w:b w:val="0"/>
          <w:sz w:val="32"/>
        </w:rPr>
        <w:t>下一步应推动扶持从“普惠”向“精准赋能”转变，重点支持原创版权、智能印刷与品牌建设，并建立政策绩效评估，确保资源真正流向高价值环节与带动能力强的主体，地方扶持的精准度，体现在资金、用地、审批等要素的协同到位，资本招商是关键一招，有效撬动了社会资本跟进集聚，应提升服务便利化水平，把政策红利转化为企业实实在在的获得感。</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较为完善，拥有梁山出版印刷产业园、物流分拨与电商基地，以及省级出版产品质量监督检测中心、未来教育体验中心、教育服务孵化中心、商品博览及商务中心等载体，公共配套的完备程度，是衡量集群宜业环境的重要标尺，科创与生活的协同配套，增强了人才与企业的根植性，应持续推进配套提级，使硬件优势转化为产业竞争优势。</w:t>
      </w:r>
    </w:p>
    <w:p>
      <w:pPr>
        <w:spacing w:lineRule="exact" w:line="600" w:after="0"/>
        <w:ind w:firstLine="420"/>
      </w:pPr>
      <w:r>
        <w:rPr>
          <w:rFonts w:ascii="仿宋_GB2312" w:hAnsi="仿宋_GB2312" w:eastAsia="仿宋_GB2312"/>
          <w:b w:val="0"/>
          <w:sz w:val="32"/>
        </w:rPr>
        <w:t>在基础设施上，印刷产能本地化、智能仓储与赋码溯源系统就近布局，降低了交付与防伪成本；金融、培训、检测等公共服务逐步健全，但高水平公共数字研发与版权服务平台仍有待补齐，公共配套的完备程度，是衡量集群宜业环境的重要标尺，科创与生活的协同配套，增强了人才与企业的根植性，应持续推进配套提级，使硬件优势转化为产业竞争优势。</w:t>
      </w:r>
    </w:p>
    <w:p>
      <w:pPr>
        <w:spacing w:lineRule="exact" w:line="600" w:after="0"/>
        <w:ind w:firstLine="420"/>
      </w:pPr>
      <w:r>
        <w:rPr>
          <w:rFonts w:ascii="仿宋_GB2312" w:hAnsi="仿宋_GB2312" w:eastAsia="仿宋_GB2312"/>
          <w:b w:val="0"/>
          <w:sz w:val="32"/>
        </w:rPr>
        <w:t>持续完善公共配套，应重点建设版权登记、质量追溯、数字资源与物流共享平台，推动设施向数字化、绿色化升级，以更低成本为中小书企提供均等化公共服务支撑，公共配套的完备程度，是衡量集群宜业环境的重要标尺，科创与生活的协同配套，增强了人才与企业的根植性，应持续推进配套提级，使硬件优势转化为产业竞争优势，公共配套的完备程度，是衡量集群宜业环境的重要标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2004年成立的梁山县书刊发行业协会是集群重要的行业自治组织，承担版权协调、行业自律、信息交流与展会组织等职能，在弥补政府与市场“中间层”方面发挥桥梁纽带作用，行业协会在补位政府、链接市场中发挥着不可替代的桥梁作用，国企平台与协会协同，有助于提升产业集群的组织化程度，应进一步壮大协会市场化服务能力，释放更大的协同效能。</w:t>
      </w:r>
    </w:p>
    <w:p>
      <w:pPr>
        <w:spacing w:lineRule="exact" w:line="600" w:after="0"/>
        <w:ind w:firstLine="420"/>
      </w:pPr>
      <w:r>
        <w:rPr>
          <w:rFonts w:ascii="仿宋_GB2312" w:hAnsi="仿宋_GB2312" w:eastAsia="仿宋_GB2312"/>
          <w:b w:val="0"/>
          <w:sz w:val="32"/>
        </w:rPr>
        <w:t>协会在推动版权保护、规范经营、组织论坛与应对贸易壁垒方面积累了经验，有助于减少内部无序竞争、增强集体议价能力，并协助中小企业对接龙头与出版资源，提升组织化程度，行业协会在补位政府、链接市场中发挥着不可替代的桥梁作用，国企平台与协会协同，有助于提升产业集群的组织化程度，应进一步壮大协会市场化服务能力，释放更大的协同效能。</w:t>
      </w:r>
    </w:p>
    <w:p>
      <w:pPr>
        <w:spacing w:lineRule="exact" w:line="600" w:after="0"/>
        <w:ind w:firstLine="420"/>
      </w:pPr>
      <w:r>
        <w:rPr>
          <w:rFonts w:ascii="仿宋_GB2312" w:hAnsi="仿宋_GB2312" w:eastAsia="仿宋_GB2312"/>
          <w:b w:val="0"/>
          <w:sz w:val="32"/>
        </w:rPr>
        <w:t>但协会服务能力与代表性仍有限，需在规范化运作、专业人才与经费保障上加强。强化行业协会在自律、标准与公共服务中的角色，将更好释放集群治理的协同效能，行业协会在补位政府、链接市场中发挥着不可替代的桥梁作用，国企平台与协会协同，有助于提升产业集群的组织化程度，应进一步壮大协会市场化服务能力，释放更大的协同效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教辅集群对梁山经济增长贡献显著，2024年纸媒图书销售码洋约255亿元、营收约43亿元，相关企业150余家至170余家，已成为拉动县域经济的重要增长极与文化支柱产业，经济效应的外溢，使集群成为区域稳增长、调结构的重要支点，高附加值特征决定了集群对财税与产出的贡献高于传统行业，应放大经济拉动效应，带动相关产业协同发展。</w:t>
      </w:r>
    </w:p>
    <w:p>
      <w:pPr>
        <w:spacing w:lineRule="exact" w:line="600" w:after="0"/>
        <w:ind w:firstLine="420"/>
      </w:pPr>
      <w:r>
        <w:rPr>
          <w:rFonts w:ascii="仿宋_GB2312" w:hAnsi="仿宋_GB2312" w:eastAsia="仿宋_GB2312"/>
          <w:b w:val="0"/>
          <w:sz w:val="32"/>
        </w:rPr>
        <w:t>集群带动了印刷、物流、包装、会展与数字服务等关联产业协同发展，印刷企业营收持续增长，形成以教育出版为核心的复合型产业经济体，经济乘数效应明显，财税贡献突出，经济效应的外溢，使集群成为区域稳增长、调结构的重要支点，高附加值特征决定了集群对财税与产出的贡献高于传统行业，应放大经济拉动效应，带动相关产业协同发展。</w:t>
      </w:r>
    </w:p>
    <w:p>
      <w:pPr>
        <w:spacing w:lineRule="exact" w:line="600" w:after="0"/>
        <w:ind w:firstLine="420"/>
      </w:pPr>
      <w:r>
        <w:rPr>
          <w:rFonts w:ascii="仿宋_GB2312" w:hAnsi="仿宋_GB2312" w:eastAsia="仿宋_GB2312"/>
          <w:b w:val="0"/>
          <w:sz w:val="32"/>
        </w:rPr>
        <w:t>经济效应还体现在营商环境改善与资本、人才、客流集聚上。持续推进版权创新与数字转型，有望进一步提升单位产出与产业经济效益，巩固县域经济支撑作用，经济效应的外溢，使集群成为区域稳增长、调结构的重要支点，高附加值特征决定了集群对财税与产出的贡献高于传统行业，应放大经济拉动效应，带动相关产业协同发展，经济效应的外溢，使集群成为区域稳增长、调结构的重要支点。</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作为劳动与文化密集型产业，教辅集群创造了大量就业，涵盖编辑策划、排版校对、印刷装订、发行物流、数字研发与客服等环节，直接从事图书研发和印刷人员曾达3万余人，联农带城效果突出，高质量就业是集群惠及民生最直接的体现，社会认可度高，人才本地化沉淀，为集群长远发展储备了宝贵的人力资本，应完善就业服务，使产业增长更好转化为居民收入增长。</w:t>
      </w:r>
    </w:p>
    <w:p>
      <w:pPr>
        <w:spacing w:lineRule="exact" w:line="600" w:after="0"/>
        <w:ind w:firstLine="420"/>
      </w:pPr>
      <w:r>
        <w:rPr>
          <w:rFonts w:ascii="仿宋_GB2312" w:hAnsi="仿宋_GB2312" w:eastAsia="仿宋_GB2312"/>
          <w:b w:val="0"/>
          <w:sz w:val="32"/>
        </w:rPr>
        <w:t>产业园与骨干企业的集聚，使产业红利下沉到县城与周边镇街，许多劳动者通过书业实现稳定就业。数字平台的兴起更降低了创业门槛，带动一批青年从事教育产品与运营服务，高质量就业是集群惠及民生最直接的体现，社会认可度高，人才本地化沉淀，为集群长远发展储备了宝贵的人力资本，应完善就业服务，使产业增长更好转化为居民收入增长。</w:t>
      </w:r>
    </w:p>
    <w:p>
      <w:pPr>
        <w:spacing w:lineRule="exact" w:line="600" w:after="0"/>
        <w:ind w:firstLine="420"/>
      </w:pPr>
      <w:r>
        <w:rPr>
          <w:rFonts w:ascii="仿宋_GB2312" w:hAnsi="仿宋_GB2312" w:eastAsia="仿宋_GB2312"/>
          <w:b w:val="0"/>
          <w:sz w:val="32"/>
        </w:rPr>
        <w:t>就业效应在促进居民增收与城镇集聚方面意义重大。完善技能培训与创业扶持，可进一步增强集群的就业吸纳与增收带动能力，巩固文化产业富民的社会价值，高质量就业是集群惠及民生最直接的体现，社会认可度高，人才本地化沉淀，为集群长远发展储备了宝贵的人力资本，应完善就业服务，使产业增长更好转化为居民收入增长，高质量就业是集群惠及民生最直接的体现，社会认可度高。</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与品牌的外溢。梁山教辅的策划模式、数字平台与版权运营经验，辐射带动周边地区文化产业发展，形成区域示范，提升了济宁乃至山东的文化产业形象，溢出效应使集群价值超越自身边界，带动区域创新能力整体跃升，资本与技术的外溢，正在重塑所在地区的产业与创新生态，应主动设计溢出通道，让集群红利惠及更广领域。</w:t>
      </w:r>
    </w:p>
    <w:p>
      <w:pPr>
        <w:spacing w:lineRule="exact" w:line="600" w:after="0"/>
        <w:ind w:firstLine="420"/>
      </w:pPr>
      <w:r>
        <w:rPr>
          <w:rFonts w:ascii="仿宋_GB2312" w:hAnsi="仿宋_GB2312" w:eastAsia="仿宋_GB2312"/>
          <w:b w:val="0"/>
          <w:sz w:val="32"/>
        </w:rPr>
        <w:t>在产城融合方面，出版印刷产业园、教育论坛与博览活动吸引客流，带动物流、餐饮、住宿等服务业，产生超出书业本业的综合经济效益，推动二三产融合与城乡要素流动，溢出效应使集群价值超越自身边界，带动区域创新能力整体跃升，资本与技术的外溢，正在重塑所在地区的产业与创新生态，应主动设计溢出通道，让集群红利惠及更广领域。</w:t>
      </w:r>
    </w:p>
    <w:p>
      <w:pPr>
        <w:spacing w:lineRule="exact" w:line="600" w:after="0"/>
        <w:ind w:firstLine="420"/>
      </w:pPr>
      <w:r>
        <w:rPr>
          <w:rFonts w:ascii="仿宋_GB2312" w:hAnsi="仿宋_GB2312" w:eastAsia="仿宋_GB2312"/>
          <w:b w:val="0"/>
          <w:sz w:val="32"/>
        </w:rPr>
        <w:t>溢出效应还表现为对印刷装备与物流产业的拉动，使梁山由“教辅策源地”延伸为“教育服务方案输出地”，扩大了集群在更广阔市场中的影响力与话语权，溢出效应使集群价值超越自身边界，带动区域创新能力整体跃升，资本与技术的外溢，正在重塑所在地区的产业与创新生态，应主动设计溢出通道，让集群红利惠及更广领域，溢出效应使集群价值超越自身边界，带动区域创新能力整体跃升。</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梁山教辅集群增强了县城内生发展动力，改善了产业环境与就业结构，“梁山书业”的城市名片提升了居民认同感与自豪感，产生了积极的社会文化效应与区域品牌价值，社会效应的显现，使集群发展获得更广泛的公共支持，惠民是集群最重要的社会价值，应持续放大，应将社会效益纳入评价，引导集群走负责任的发展之路，社会效应的显现，使集群发展获得更广泛的公共支持。</w:t>
      </w:r>
    </w:p>
    <w:p>
      <w:pPr>
        <w:spacing w:lineRule="exact" w:line="600" w:after="0"/>
        <w:ind w:firstLine="420"/>
      </w:pPr>
      <w:r>
        <w:rPr>
          <w:rFonts w:ascii="仿宋_GB2312" w:hAnsi="仿宋_GB2312" w:eastAsia="仿宋_GB2312"/>
          <w:b w:val="0"/>
          <w:sz w:val="32"/>
        </w:rPr>
        <w:t>通过“企业+协会+从业者”的联结，集群在带动就业、传播知识与促进教育公平方面发挥了作用，民营书业的健康发展体现了特色产业的社会价值与民生意义，社会效应的显现，使集群发展获得更广泛的公共支持，惠民是集群最重要的社会价值，应持续放大，应将社会效益纳入评价，引导集群走负责任的发展之路，社会效应的显现，使集群发展获得更广泛的公共支持。</w:t>
      </w:r>
    </w:p>
    <w:p>
      <w:pPr>
        <w:spacing w:lineRule="exact" w:line="600" w:after="0"/>
        <w:ind w:firstLine="420"/>
      </w:pPr>
      <w:r>
        <w:rPr>
          <w:rFonts w:ascii="仿宋_GB2312" w:hAnsi="仿宋_GB2312" w:eastAsia="仿宋_GB2312"/>
          <w:b w:val="0"/>
          <w:sz w:val="32"/>
        </w:rPr>
        <w:t>社会效应的持续释放，有赖于更包容的受益机制与更均衡的公共服务。让更多中小主体与从业者共享集群发展红利，是巩固社会效应、实现可持续发展的题中应有之义，社会效应的显现，使集群发展获得更广泛的公共支持，惠民是集群最重要的社会价值，应持续放大，应将社会效益纳入评价，引导集群走负责任的发展之路，社会效应的显现，使集群发展获得更广泛的公共支持。</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梁山教辅集群规模与渠道优势突出，但在原创版权、数字平台能级、品牌溢价与组织化程度上仍有短板。部分环节同质化、中小主体能力参差、公共创新平台不足，制约向价值链高端攀升，问题总结旨在明确主攻方向，为后续对策提供靶向依据，各类短板相互关联，须系统协同、一体推进方能见效，应建立问题台账与销号机制，确保短板补齐落到实处。</w:t>
      </w:r>
    </w:p>
    <w:p>
      <w:pPr>
        <w:spacing w:lineRule="exact" w:line="600" w:after="0"/>
        <w:ind w:firstLine="420"/>
      </w:pPr>
      <w:r>
        <w:rPr>
          <w:rFonts w:ascii="仿宋_GB2312" w:hAnsi="仿宋_GB2312" w:eastAsia="仿宋_GB2312"/>
          <w:b w:val="0"/>
          <w:sz w:val="32"/>
        </w:rPr>
        <w:t>从主体结构看，龙头引领力有待增强，中小企业承接新技术与合规能力不均；从要素看，高端人才与长期资本偏紧；从外部看，教育政策不确定性上升，对集群韧性与质量效益提出更高要求，问题总结旨在明确主攻方向，为后续对策提供靶向依据，各类短板相互关联，须系统协同、一体推进方能见效，应建立问题台账与销号机制，确保短板补齐落到实处。</w:t>
      </w:r>
    </w:p>
    <w:p>
      <w:pPr>
        <w:spacing w:lineRule="exact" w:line="600" w:after="0"/>
        <w:ind w:firstLine="420"/>
      </w:pPr>
      <w:r>
        <w:rPr>
          <w:rFonts w:ascii="仿宋_GB2312" w:hAnsi="仿宋_GB2312" w:eastAsia="仿宋_GB2312"/>
          <w:b w:val="0"/>
          <w:sz w:val="32"/>
        </w:rPr>
        <w:t>因此，下一阶段应在巩固渠道与制造优势基础上，聚焦“强版权、数字化、塑品牌、优组织”四条主线，系统破解结构性矛盾，推动集群由规模数量型向质量效益型转变，问题总结旨在明确主攻方向，为后续对策提供靶向依据，各类短板相互关联，须系统协同、一体推进方能见效，应建立问题台账与销号机制，确保短板补齐落到实处，问题总结旨在明确主攻方向，为后续对策提供靶向依据。</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应补齐智能印刷与原创内容短板，加快本地印务产能与环保材料应用，加大自主版权教辅与素养类内容投入，降低对单一政策品类的依赖，提升产业链附加值与抗波动能力，补链强链延链须围绕优势环节展开，避免盲目铺摊子，方向明确后，应配套项目清单与责任主体，确保可落地，应动态评估链条状态，使攻坚始终对准最紧迫的缺口。</w:t>
      </w:r>
    </w:p>
    <w:p>
      <w:pPr>
        <w:spacing w:lineRule="exact" w:line="600" w:after="0"/>
        <w:ind w:firstLine="420"/>
      </w:pPr>
      <w:r>
        <w:rPr>
          <w:rFonts w:ascii="仿宋_GB2312" w:hAnsi="仿宋_GB2312" w:eastAsia="仿宋_GB2312"/>
          <w:b w:val="0"/>
          <w:sz w:val="32"/>
        </w:rPr>
        <w:t>强链方面，强化发行渠道与品牌输出优势，巩固高中教辅全国约三分之一份额，推动产业园数字化转型，提升集聚枢纽的信息化与金融服务功能，增强链条控制力与议价能力，补链强链延链须围绕优势环节展开，避免盲目铺摊子，方向明确后，应配套项目清单与责任主体，确保可落地，应动态评估链条状态，使攻坚始终对准最紧迫的缺口。</w:t>
      </w:r>
    </w:p>
    <w:p>
      <w:pPr>
        <w:spacing w:lineRule="exact" w:line="600" w:after="0"/>
        <w:ind w:firstLine="420"/>
      </w:pPr>
      <w:r>
        <w:rPr>
          <w:rFonts w:ascii="仿宋_GB2312" w:hAnsi="仿宋_GB2312" w:eastAsia="仿宋_GB2312"/>
          <w:b w:val="0"/>
          <w:sz w:val="32"/>
        </w:rPr>
        <w:t>延链方面，拓展智慧教育、未来教育体验、教育培训与版权服务新业态，向教育服务终端延伸。以“内容+平台+服务”融合，构建更完整、更具韧性的现代教育服务产业链体系，补链强链延链须围绕优势环节展开，避免盲目铺摊子，方向明确后，应配套项目清单与责任主体，确保可落地，应动态评估链条状态，使攻坚始终对准最紧迫的缺口。</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龙头倍增”计划，支持金榜苑、天成、新坐标等头部企业通过并购、股改与渠道整合做大做强，培育具有全国影响力的教育服务领军企业，强化其在版权、平台与发行中的引领作用，企业培育要坚持抓大不放小，构建梯次分明的企业阵型，融通发展是提升集群整体实力的关键路径，应重点推进，应强化企业创新主体地位，让企业真正成为出题与答题人。</w:t>
      </w:r>
    </w:p>
    <w:p>
      <w:pPr>
        <w:spacing w:lineRule="exact" w:line="600" w:after="0"/>
        <w:ind w:firstLine="420"/>
      </w:pPr>
      <w:r>
        <w:rPr>
          <w:rFonts w:ascii="仿宋_GB2312" w:hAnsi="仿宋_GB2312" w:eastAsia="仿宋_GB2312"/>
          <w:b w:val="0"/>
          <w:sz w:val="32"/>
        </w:rPr>
        <w:t>对中小企业，应引导向“专精特新”方向发展，鼓励协会联合与社会化服务，推广“龙头+配套”紧密型利益联结，提升中小主体的组织化与规范化发展水平，企业培育要坚持抓大不放小，构建梯次分明的企业阵型，融通发展是提升集群整体实力的关键路径，应重点推进，应强化企业创新主体地位，让企业真正成为出题与答题人，企业培育要坚持抓大不放小，构建梯次分明的企业阵型。</w:t>
      </w:r>
    </w:p>
    <w:p>
      <w:pPr>
        <w:spacing w:lineRule="exact" w:line="600" w:after="0"/>
        <w:ind w:firstLine="420"/>
      </w:pPr>
      <w:r>
        <w:rPr>
          <w:rFonts w:ascii="仿宋_GB2312" w:hAnsi="仿宋_GB2312" w:eastAsia="仿宋_GB2312"/>
          <w:b w:val="0"/>
          <w:sz w:val="32"/>
        </w:rPr>
        <w:t>同时完善企业梯队培育机制，在印刷、数字平台、版权服务等领域培育一批隐形冠军与配套“小巨人”，形成大中小企业融通发展的生动格局，夯实集群企业生态根基，企业培育要坚持抓大不放小，构建梯次分明的企业阵型，融通发展是提升集群整体实力的关键路径，应重点推进，应强化企业创新主体地位，让企业真正成为出题与答题人。</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以原创版权与智能平台为核心。设立内容创新与数字研发专项，支持产学研联合开发突破性教育产品，建设版权资源与质量检测和公共服务平台，提升自主知识产权数量与质量，创新提升须聚焦原始创新，方能在竞争中掌握主动权，转化体系是创新落地的最后一公里，须持续打通堵点，应善用开放合作，在更高平台上集聚创新资源。</w:t>
      </w:r>
    </w:p>
    <w:p>
      <w:pPr>
        <w:spacing w:lineRule="exact" w:line="600" w:after="0"/>
        <w:ind w:firstLine="420"/>
      </w:pPr>
      <w:r>
        <w:rPr>
          <w:rFonts w:ascii="仿宋_GB2312" w:hAnsi="仿宋_GB2312" w:eastAsia="仿宋_GB2312"/>
          <w:b w:val="0"/>
          <w:sz w:val="32"/>
        </w:rPr>
        <w:t>推动智能印刷、自动分拣与数字仓储技术普及，建设教育产业大数据与溯源平台，以数字化改造提升全要素生产率与产品一致性，降低能耗与盗版损耗，增强绿色生产能力，创新提升须聚焦原始创新，方能在竞争中掌握主动权，转化体系是创新落地的最后一公里，须持续打通堵点，应善用开放合作，在更高平台上集聚创新资源，创新提升须聚焦原始创新，方能在竞争中掌握主动权。</w:t>
      </w:r>
    </w:p>
    <w:p>
      <w:pPr>
        <w:spacing w:lineRule="exact" w:line="600" w:after="0"/>
        <w:ind w:firstLine="420"/>
      </w:pPr>
      <w:r>
        <w:rPr>
          <w:rFonts w:ascii="仿宋_GB2312" w:hAnsi="仿宋_GB2312" w:eastAsia="仿宋_GB2312"/>
          <w:b w:val="0"/>
          <w:sz w:val="32"/>
        </w:rPr>
        <w:t>完善成果转化机制，强化龙头企业示范与平台赋能，把创新成果更快导入中小书企。营造重视版权保护的创新生态，激发各类主体持续创新的积极性与内生动力，创新提升须聚焦原始创新，方能在竞争中掌握主动权，转化体系是创新落地的最后一公里，须持续打通堵点，应善用开放合作，在更高平台上集聚创新资源，创新提升须聚焦原始创新，方能在竞争中掌握主动权。</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要素上，统筹产业园区用地指标，支持老旧厂区改造与智能产线落地，提高土地集约利用效率，保障扩产与新业态空间，避免碎片化无序扩张，要素保障是集群壮大的底盘，须系统集成、精准供给，人才与资本是两大关键要素，应双轮驱动协同发力，应强化空间与设施保障，为产业集聚提供可持续支撑，要素保障是集群壮大的底盘，须系统集成、精准供给。</w:t>
      </w:r>
    </w:p>
    <w:p>
      <w:pPr>
        <w:spacing w:lineRule="exact" w:line="600" w:after="0"/>
        <w:ind w:firstLine="420"/>
      </w:pPr>
      <w:r>
        <w:rPr>
          <w:rFonts w:ascii="仿宋_GB2312" w:hAnsi="仿宋_GB2312" w:eastAsia="仿宋_GB2312"/>
          <w:b w:val="0"/>
          <w:sz w:val="32"/>
        </w:rPr>
        <w:t>资本要素上，创新文化金融产品，推广版权质押与供应链金融，引导社会资本投向数字教育与智能印刷；人才要素上，加强编辑、数字研发与版权运营人才引育，缓解高端人才短缺，要素保障是集群壮大的底盘，须系统集成、精准供给，人才与资本是两大关键要素，应双轮驱动协同发力，应强化空间与设施保障，为产业集聚提供可持续支撑。</w:t>
      </w:r>
    </w:p>
    <w:p>
      <w:pPr>
        <w:spacing w:lineRule="exact" w:line="600" w:after="0"/>
        <w:ind w:firstLine="420"/>
      </w:pPr>
      <w:r>
        <w:rPr>
          <w:rFonts w:ascii="仿宋_GB2312" w:hAnsi="仿宋_GB2312" w:eastAsia="仿宋_GB2312"/>
          <w:b w:val="0"/>
          <w:sz w:val="32"/>
        </w:rPr>
        <w:t>原材料与能耗要素上，推广环保油墨与节能印刷，强化物料多元储备与正版内容供给。以系统性要素保障，为集群高质量发展提供坚实的底层支撑与可持续动力，要素保障是集群壮大的底盘，须系统集成、精准供给，人才与资本是两大关键要素，应双轮驱动协同发力，应强化空间与设施保障，为产业集聚提供可持续支撑，要素保障是集群壮大的底盘，须系统集成、精准供给。</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强化系统性与精准性。落实省级中小企业特色产业集群部署，建立跨部门协调机制，统筹出版、版权、教育、数字等政策资源，形成支持集群升级的政策合力与稳定预期，政策优化重在提质增效，使好政策真正好用、管用，应健全监测评估，以数据驱动政策动态迭代完善，应持续擦亮区域品牌，提升集群对内聚合力与对外影响力。</w:t>
      </w:r>
    </w:p>
    <w:p>
      <w:pPr>
        <w:spacing w:lineRule="exact" w:line="600" w:after="0"/>
        <w:ind w:firstLine="420"/>
      </w:pPr>
      <w:r>
        <w:rPr>
          <w:rFonts w:ascii="仿宋_GB2312" w:hAnsi="仿宋_GB2312" w:eastAsia="仿宋_GB2312"/>
          <w:b w:val="0"/>
          <w:sz w:val="32"/>
        </w:rPr>
        <w:t>建议设立教育服务产业高质量发展专项资金，重点支持原创版权、智能印刷、品牌建设及公共服务平台建设；完善政策绩效评估，确保资源精准滴灌到高价值环节与带动能力强的主体，政策优化重在提质增效，使好政策真正好用、管用，应健全监测评估，以数据驱动政策动态迭代完善，应持续擦亮区域品牌，提升集群对内聚合力与对外影响力。</w:t>
      </w:r>
    </w:p>
    <w:p>
      <w:pPr>
        <w:spacing w:lineRule="exact" w:line="600" w:after="0"/>
        <w:ind w:firstLine="420"/>
      </w:pPr>
      <w:r>
        <w:rPr>
          <w:rFonts w:ascii="仿宋_GB2312" w:hAnsi="仿宋_GB2312" w:eastAsia="仿宋_GB2312"/>
          <w:b w:val="0"/>
          <w:sz w:val="32"/>
        </w:rPr>
        <w:t>同时深化“放管服”改革，优化版权登记、发行资质与营商环境，发挥行业协会自治作用，构建政府引导、市场主导、社会参与的治理格局，为梁山教辅集群行稳致远提供制度保障，政策优化重在提质增效，使好政策真正好用、管用，应健全监测评估，以数据驱动政策动态迭代完善，应持续擦亮区域品牌，提升集群对内聚合力与对外影响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梁山县人民政府，教育服务产业概况，http://liangshan.gov.cn/art/2026/2/4/art_32041_1473324.html</w:t>
      </w:r>
    </w:p>
    <w:p>
      <w:pPr>
        <w:spacing w:lineRule="exact" w:line="600" w:after="0"/>
        <w:ind w:firstLine="0"/>
      </w:pPr>
      <w:r>
        <w:rPr>
          <w:rFonts w:ascii="仿宋_GB2312" w:hAnsi="仿宋_GB2312" w:eastAsia="仿宋_GB2312"/>
          <w:b w:val="0"/>
          <w:sz w:val="32"/>
        </w:rPr>
        <w:t>济宁日报，梁山县做大做强教育服务产业报道，http://epaper.jn001.com/content/content_110099.html</w:t>
      </w:r>
    </w:p>
    <w:p>
      <w:pPr>
        <w:spacing w:lineRule="exact" w:line="600" w:after="0"/>
        <w:ind w:firstLine="0"/>
      </w:pPr>
      <w:r>
        <w:rPr>
          <w:rFonts w:ascii="仿宋_GB2312" w:hAnsi="仿宋_GB2312" w:eastAsia="仿宋_GB2312"/>
          <w:b w:val="0"/>
          <w:sz w:val="32"/>
        </w:rPr>
        <w:t>齐鲁网·闪电新闻，梁山金榜苑数字化转型报道，https://news.iqilu.com/shandong/yuanchuang/2025/1012/5858577.shtml</w:t>
      </w:r>
    </w:p>
    <w:p>
      <w:pPr>
        <w:spacing w:lineRule="exact" w:line="600" w:after="0"/>
        <w:ind w:firstLine="0"/>
      </w:pPr>
      <w:r>
        <w:rPr>
          <w:rFonts w:ascii="仿宋_GB2312" w:hAnsi="仿宋_GB2312" w:eastAsia="仿宋_GB2312"/>
          <w:b w:val="0"/>
          <w:sz w:val="32"/>
        </w:rPr>
        <w:t>同花顺，教育服务产业数字化转型下的梁山实践，https://m.10jqka.com.cn/20260106/c673777308.shtml</w:t>
      </w:r>
    </w:p>
    <w:p>
      <w:pPr>
        <w:spacing w:lineRule="exact" w:line="600" w:after="0"/>
        <w:ind w:firstLine="0"/>
      </w:pPr>
      <w:r>
        <w:rPr>
          <w:rFonts w:ascii="仿宋_GB2312" w:hAnsi="仿宋_GB2312" w:eastAsia="仿宋_GB2312"/>
          <w:b w:val="0"/>
          <w:sz w:val="32"/>
        </w:rPr>
        <w:t>中国经济导报，山东梁山“互联网+教育”赋能全媒体教育服务产业，https://www.ceh.com.cn/ep_m/ceh/html/2022/12/27/07/07_79.htm</w:t>
      </w:r>
    </w:p>
    <w:p>
      <w:pPr>
        <w:spacing w:lineRule="exact" w:line="600" w:after="0"/>
        <w:ind w:firstLine="0"/>
      </w:pPr>
      <w:r>
        <w:rPr>
          <w:rFonts w:ascii="仿宋_GB2312" w:hAnsi="仿宋_GB2312" w:eastAsia="仿宋_GB2312"/>
          <w:b w:val="0"/>
          <w:sz w:val="32"/>
        </w:rPr>
        <w:t>梁山县政府，关于创建全国版权示范基地的答复，http://www.liangshan.gov.cn/art/2023/7/14/art_32032_2746949.html</w:t>
      </w:r>
    </w:p>
    <w:p>
      <w:pPr>
        <w:spacing w:lineRule="exact" w:line="600" w:after="0"/>
        <w:ind w:firstLine="0"/>
      </w:pPr>
      <w:r>
        <w:rPr>
          <w:rFonts w:ascii="仿宋_GB2312" w:hAnsi="仿宋_GB2312" w:eastAsia="仿宋_GB2312"/>
          <w:b w:val="0"/>
          <w:sz w:val="32"/>
        </w:rPr>
        <w:t>中国出版传媒商报，梁山经济开发区文化教育产业“一园”“三联”，https://www.cbbr.com.cn/article/105842.html</w:t>
      </w:r>
    </w:p>
    <w:p>
      <w:pPr>
        <w:spacing w:lineRule="exact" w:line="600" w:after="0"/>
        <w:ind w:firstLine="0"/>
      </w:pPr>
      <w:r>
        <w:rPr>
          <w:rFonts w:ascii="仿宋_GB2312" w:hAnsi="仿宋_GB2312" w:eastAsia="仿宋_GB2312"/>
          <w:b w:val="0"/>
          <w:sz w:val="32"/>
        </w:rPr>
        <w:t>济宁新闻网，山东新坐标书业数字化转型报道，https://www.jnnews.tv/xianqu/liangshan/2026/08-03/brYlgEz1.html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