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泰安市岱岳区精细化工特色产业集群发展研究报告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泰安市岱岳区精细化工特色产业集群位于岱岳化工产业园，于二〇二三年度入选山东省中小企业特色产业集群名单。岱岳化工产业园于二〇一八年九月经省政府认定，起步区面积五点六五平方公里，二〇二二年十二月被中国石油和化学工业联合会命名为“智慧化工园区”，并获评山东省最佳投资园区、山东省智安化工园区。其入选省级特色产业集群，标志着岱岳精细化工迈上新台阶。</w:t>
      </w:r>
    </w:p>
    <w:p>
      <w:pPr>
        <w:spacing w:lineRule="exact" w:line="600" w:after="0"/>
        <w:ind w:firstLine="420"/>
      </w:pPr>
      <w:r>
        <w:rPr>
          <w:rFonts w:ascii="仿宋_GB2312" w:hAnsi="仿宋_GB2312" w:eastAsia="仿宋_GB2312"/>
          <w:b w:val="0"/>
          <w:sz w:val="32"/>
        </w:rPr>
        <w:t>集群由泰安市岱岳区主导建设，以岱岳化工产业园为平台，坚持“做强、培育、做精”三大工程，推动园区向基地化、链条化、绿色化方向发展。园区以化工助剂与医药中间体为双轮驱动，打造国内重要的精细化工产业创新发展示范区，是岱岳区四大主导产业中“高端化工”的核心承载。智慧园区与智安园区称号彰显其数字化治理水平。该趋势与全区工业整体走向基本一致。</w:t>
      </w:r>
    </w:p>
    <w:p>
      <w:pPr>
        <w:spacing w:lineRule="exact" w:line="600" w:after="0"/>
        <w:ind w:firstLine="420"/>
      </w:pPr>
      <w:r>
        <w:rPr>
          <w:rFonts w:ascii="仿宋_GB2312" w:hAnsi="仿宋_GB2312" w:eastAsia="仿宋_GB2312"/>
          <w:b w:val="0"/>
          <w:sz w:val="32"/>
        </w:rPr>
        <w:t>从行政隶属看，岱岳化工产业园地处泰城西部、岱岳新城组成部分，居济南都市圈同城化与泰西一体化战略核心位置，毗邻京沪高铁泰安站。作为岱岳区新型工业化强区建设的主阵地，精细化工在全区工业经济中地位突出，是拉动规上工业增长与税收的关键力量。清晰的双轮驱动定位为后续集聚奠定了制度基础。上述判断基于公开权威信息与实地资料。</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在岱岳区四大主导产业中稳步攀升。据岱岳区政府工作报告，二〇二四年精细化工产业链产值突破八十亿元；二〇二五年全区高端化工产业产值达七十三亿元，以汉威集团为链主的化工新材料及药用中间体集群入选省级先进制造业集群。二〇二六年该产业链营收目标突破六十八亿元。产值连年跃升，凸显集群的成长性与投资吸引力。</w:t>
      </w:r>
    </w:p>
    <w:p>
      <w:pPr>
        <w:spacing w:lineRule="exact" w:line="600" w:after="0"/>
        <w:ind w:firstLine="420"/>
      </w:pPr>
      <w:r>
        <w:rPr>
          <w:rFonts w:ascii="仿宋_GB2312" w:hAnsi="仿宋_GB2312" w:eastAsia="仿宋_GB2312"/>
          <w:b w:val="0"/>
          <w:sz w:val="32"/>
        </w:rPr>
        <w:t>企业数量与产出持续增长。二〇二四年一至五月，高端化工产业链二十二家规上企业实现营收三十一点五亿元，同比增长百分之二十二；现代食品、新材料等协同推进。园区规划高端化工助剂产业园腾空土地一千零三十九亩，总投资不少于七十亿元，力争“十四五”末实现销售收入二百亿元。规上企业营收两位数增长，反映集聚活力充沛。</w:t>
      </w:r>
    </w:p>
    <w:p>
      <w:pPr>
        <w:spacing w:lineRule="exact" w:line="600" w:after="0"/>
        <w:ind w:firstLine="420"/>
      </w:pPr>
      <w:r>
        <w:rPr>
          <w:rFonts w:ascii="仿宋_GB2312" w:hAnsi="仿宋_GB2312" w:eastAsia="仿宋_GB2312"/>
          <w:b w:val="0"/>
          <w:sz w:val="32"/>
        </w:rPr>
        <w:t>带动效应明显。集群发展壮大带动岱岳区工业经济提质：二〇二五年全区规模以上工业增加值年均增长百分之七点九，工业增加值占GDP比重提高四点八个百分点、达百分之二十五点七；工业税收占总税收比重提高七个百分点以上，精细化工对区域经济的支撑作用持续增强。集群已成为拉动全区工业与税收增长的关键力量。其经验对同类资源型园区具参考价值。</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化工助剂与医药中间体两大方向。化工助剂以抗氧剂、热稳定剂、阻燃剂、色母料等为主导产品，下游引造纸助剂、橡塑助剂等；医药中间体以氯化胆碱、甜菜碱等为主导，大力招引医药中间体、特色原料药与医药制剂项目，形成“助剂+医药”双集群格局。两大主导方向协同，使集群具备较强配套能力。相关成效仍在持续累积、逐步显现。</w:t>
      </w:r>
    </w:p>
    <w:p>
      <w:pPr>
        <w:spacing w:lineRule="exact" w:line="600" w:after="0"/>
        <w:ind w:firstLine="420"/>
      </w:pPr>
      <w:r>
        <w:rPr>
          <w:rFonts w:ascii="仿宋_GB2312" w:hAnsi="仿宋_GB2312" w:eastAsia="仿宋_GB2312"/>
          <w:b w:val="0"/>
          <w:sz w:val="32"/>
        </w:rPr>
        <w:t>化工助剂领域以西尼尔、蓝天助剂等为龙头。西尼尔作为助剂类企业，可为蓝天助剂、中福橡胶、鲁怡高分子、华盛合材、德汇电力、复合钠膜等六家企业提供稳定剂及抗氧剂，其原料水滑石由渤洋化工供应、聚合硫化剂由中福橡胶供应，链内配套紧密。助剂链内配套紧密，降低了企业外部采购成本。需以系统思维加以统筹与推进。这为集群后续提质升级提供扎实基础。</w:t>
      </w:r>
    </w:p>
    <w:p>
      <w:pPr>
        <w:spacing w:lineRule="exact" w:line="600" w:after="0"/>
        <w:ind w:firstLine="420"/>
      </w:pPr>
      <w:r>
        <w:rPr>
          <w:rFonts w:ascii="仿宋_GB2312" w:hAnsi="仿宋_GB2312" w:eastAsia="仿宋_GB2312"/>
          <w:b w:val="0"/>
          <w:sz w:val="32"/>
        </w:rPr>
        <w:t>医药中间体领域以汉威集团为链主。汉威巩固氯化胆碱全国领先市场份额，加快医药项目一、二期建设，推动罗库溴铵、盐酸莫西沙星、碘酸钾等生产线投产，形成“营养品、医药及中间体、新材料”三大业务板块，并依托医药化工产业园持续集聚上下游企业。汉威链主牵引，使医药中间体板块快速集聚。各方对此已形成较为广泛的共识。</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围绕化工助剂与医药中间体构建相对完整的产业链。上游涵盖水滑石、聚合硫化剂等基础原料与单体，中游为抗氧剂、热稳定剂、阻燃剂、色母料及氯化胆碱、甜菜碱等中间体，下游延伸至造纸助剂、橡塑助剂、医药制剂与营养品，链条环节衔接较为顺畅。全链条衔接显著降低了企业外部采购成本。其示范意义值得进一步总结推广。应在发展实践中不断完善与优化。</w:t>
      </w:r>
    </w:p>
    <w:p>
      <w:pPr>
        <w:spacing w:lineRule="exact" w:line="600" w:after="0"/>
        <w:ind w:firstLine="420"/>
      </w:pPr>
      <w:r>
        <w:rPr>
          <w:rFonts w:ascii="仿宋_GB2312" w:hAnsi="仿宋_GB2312" w:eastAsia="仿宋_GB2312"/>
          <w:b w:val="0"/>
          <w:sz w:val="32"/>
        </w:rPr>
        <w:t>链内物料协同提升完整性。以西尼尔为核心，其稳定剂与抗氧剂直供园区内六家下游企业，渤洋化工供其水滑石、中福橡胶供其聚合硫化剂，形成“原料—助剂—应用”的短链闭环。汉威集团则带动氯化胆碱向下游医药与营养品延伸，链条纵向贯通度不断提高。短链闭环使物料协同与周转效率明显提升。该方向契合高质量发展根本要求。由此形成的协同合力正在加快显现。</w:t>
      </w:r>
    </w:p>
    <w:p>
      <w:pPr>
        <w:spacing w:lineRule="exact" w:line="600" w:after="0"/>
        <w:ind w:firstLine="420"/>
      </w:pPr>
      <w:r>
        <w:rPr>
          <w:rFonts w:ascii="仿宋_GB2312" w:hAnsi="仿宋_GB2312" w:eastAsia="仿宋_GB2312"/>
          <w:b w:val="0"/>
          <w:sz w:val="32"/>
        </w:rPr>
        <w:t>从基础原料到终端应用的链条基本建立。园区通过“筑巢引凤、标准地出让、孵化成长”三种招商模式，靶向引入上下游项目，高端化工助剂产业园已入驻蓝天助剂产业园、年产二十万吨多功能助剂等项目，南通新邦、常州君合等高端精细化学品项目在谈，链条持续补全。靶向招商使上下游环节持续补全。长期看有利于集群实现行稳致远。</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高端专用化学品与终端制剂占比仍待提升。当前助剂多以抗氧剂、稳定剂等中间产品为主，色母料、造纸与电子化学品助剂等高端牌号不足；医药中间体向特色原料药、制剂延伸的深度有限，与“高端化工”定位尚有差距，需向高壁垒终端环节延伸。高端牌号不足制约了单位产出的附加收益。从全市看，这一路径具有推广价值。需警惕潜在风险并保持战略定力。</w:t>
      </w:r>
    </w:p>
    <w:p>
      <w:pPr>
        <w:spacing w:lineRule="exact" w:line="600" w:after="0"/>
        <w:ind w:firstLine="420"/>
      </w:pPr>
      <w:r>
        <w:rPr>
          <w:rFonts w:ascii="仿宋_GB2312" w:hAnsi="仿宋_GB2312" w:eastAsia="仿宋_GB2312"/>
          <w:b w:val="0"/>
          <w:sz w:val="32"/>
        </w:rPr>
        <w:t>关键单体与高端原料仍部分依赖外部。水滑石、聚合硫化剂等虽实现园内配套，但更高端催化剂、特种单体仍需外购；公共中试与共性技术平台不足，制约新产品从实验室到产线的工程化，影响链条向高附加值环节攀升的速度。中试短板使部分成果难在园内就地转化。数字化与绿色化正成为关键变量。龙头牵引仍是集群壮大的主线索。循环化改造释放的红利仍将持续。</w:t>
      </w:r>
    </w:p>
    <w:p>
      <w:pPr>
        <w:spacing w:lineRule="exact" w:line="600" w:after="0"/>
        <w:ind w:firstLine="420"/>
      </w:pPr>
      <w:r>
        <w:rPr>
          <w:rFonts w:ascii="仿宋_GB2312" w:hAnsi="仿宋_GB2312" w:eastAsia="仿宋_GB2312"/>
          <w:b w:val="0"/>
          <w:sz w:val="32"/>
        </w:rPr>
        <w:t>要素与环境容量约束趋紧。化工属能耗与排放重点行业，在安全环保常态化监管下，新项目能评环评门槛提高，部分扩能受用能、环境容量指标制约。园区虽为智安化工园区，但仍须持续投入智能化监测与封闭管理，平衡扩能与绿色安全。容量约束要求新项目必须走绿色低碳路径。公共平台补短是当务之急。区域承载力的提升支撑了集群扩张。</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整体处于由基础助剂、中间体向高端专用化学品攀升的阶段。抗氧剂、稳定剂等属大宗助剂，附加值有限；而氯化胆碱汉威居全国领先、部分助剂具细分话语权，价值链逐步向“微笑曲线”两端移动，但整体高端位势仍不及发达化工园区。单项优势产品正带动集群向价值链高端攀升。内外需协同将拓宽增长空间。要素集约利用水平决定未来上限。</w:t>
      </w:r>
    </w:p>
    <w:p>
      <w:pPr>
        <w:spacing w:lineRule="exact" w:line="600" w:after="0"/>
        <w:ind w:firstLine="420"/>
      </w:pPr>
      <w:r>
        <w:rPr>
          <w:rFonts w:ascii="仿宋_GB2312" w:hAnsi="仿宋_GB2312" w:eastAsia="仿宋_GB2312"/>
          <w:b w:val="0"/>
          <w:sz w:val="32"/>
        </w:rPr>
        <w:t>链主企业提升价值捕获能力。汉威集团以氯化胆碱全国领先为基础，向医药及营养品高附加值板块延伸，其医药及营养品板块朝二〇二七年营收五十亿元目标迈进；西尼尔推进上海、江西基地迁入岱岳，将岱岳打造成最大生产基地，价值留存能力增强。链主延伸高附加值板块增强了价值留存能力。开放合作有望补上国际化短板。创新策源能力有待进一步夯实。</w:t>
      </w:r>
    </w:p>
    <w:p>
      <w:pPr>
        <w:spacing w:lineRule="exact" w:line="600" w:after="0"/>
        <w:ind w:firstLine="420"/>
      </w:pPr>
      <w:r>
        <w:rPr>
          <w:rFonts w:ascii="仿宋_GB2312" w:hAnsi="仿宋_GB2312" w:eastAsia="仿宋_GB2312"/>
          <w:b w:val="0"/>
          <w:sz w:val="32"/>
        </w:rPr>
        <w:t>数字化赋能抬升效率。岱岳区规上工业企业关键业务环节全面数字化率达百分之八十六，全市第一；园区智慧化管理平台升级提升生产与安环效率。数智手段压缩交易与库存成本，使集群在同等产出下获取更高净收益，价值链位置稳步优化。数智赋能使集群在同等产出下获得更高净收益。安全底线须贯穿发展全过程。该趋势与全区工业整体走向基本一致。</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链主企业与配套企业分工清晰。以西尼尔、汉威集团、联合农药三家链主为龙头，西尼尔引领高端化工助剂集群，汉威引领医药化工，联合农药引领环境友好型农药；中小企业在稳定剂、助剂、制剂等配套环节分工协作，构成“链主引领、配套协同”格局。链主牵引、配套协同的分工格局已初步成型。上述判断基于公开权威信息与实地资料。</w:t>
      </w:r>
    </w:p>
    <w:p>
      <w:pPr>
        <w:spacing w:lineRule="exact" w:line="600" w:after="0"/>
        <w:ind w:firstLine="420"/>
      </w:pPr>
      <w:r>
        <w:rPr>
          <w:rFonts w:ascii="仿宋_GB2312" w:hAnsi="仿宋_GB2312" w:eastAsia="仿宋_GB2312"/>
          <w:b w:val="0"/>
          <w:sz w:val="32"/>
        </w:rPr>
        <w:t>园区内推行专业化空间分工。规划高端化工助剂产业园、医药化工产业园等特色园中园，各园聚焦特定赛道，避免同质化。西尼尔助剂产业园、汉威医药化工产业园错位发展，形成“助剂+医药”双轮驱动的鲜明分工特征与空间布局。园中园模式有效避免了内部同质化竞争。其经验对同类资源型园区具参考价值。相关成效仍在持续累积、逐步显现。</w:t>
      </w:r>
    </w:p>
    <w:p>
      <w:pPr>
        <w:spacing w:lineRule="exact" w:line="600" w:after="0"/>
        <w:ind w:firstLine="420"/>
      </w:pPr>
      <w:r>
        <w:rPr>
          <w:rFonts w:ascii="仿宋_GB2312" w:hAnsi="仿宋_GB2312" w:eastAsia="仿宋_GB2312"/>
          <w:b w:val="0"/>
          <w:sz w:val="32"/>
        </w:rPr>
        <w:t>区域分工上，岱岳与宁阳、肥城、新泰化工园错位。泰安市明确岱岳主攻化工助剂与医药化工；宁阳构建“一区七园”；肥城深耕化工新材料与医药化工；新泰聚焦碳氢精细化工。全市协同互补的分工体系，使岱岳精细化工特色更加凸显。全市错位协同放大了岱岳的精细化工特色。需以系统思维加以统筹与推进。这为集群后续提质升级提供扎实基础。</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规模以上工业企业为主体。二〇二四年一至五月高端化工产业链二十二家规上企业实现营收三十一点五亿元，企业规模以大中型骨干与中小配套并存。汉威集团、西尼尔、联合农药、蓝天助剂等构成骨干，另有大量中小型助剂与制剂企业，呈现“大中小融通”的金字塔结构。金字塔结构有利于大中小企业融通发展。各方对此已形成较为广泛的共识。</w:t>
      </w:r>
    </w:p>
    <w:p>
      <w:pPr>
        <w:spacing w:lineRule="exact" w:line="600" w:after="0"/>
        <w:ind w:firstLine="420"/>
      </w:pPr>
      <w:r>
        <w:rPr>
          <w:rFonts w:ascii="仿宋_GB2312" w:hAnsi="仿宋_GB2312" w:eastAsia="仿宋_GB2312"/>
          <w:b w:val="0"/>
          <w:sz w:val="32"/>
        </w:rPr>
        <w:t>骨干企业规模化、资本化提速。汉威集团医药及营养品板块朝二〇二七年营收五十亿元目标迈进，并依托医药化工产业园持续扩规；西尼尔推进上海、江西生产基地迁入岱岳，打造最大生产基地。骨干做大增强了集群资金积聚与再投资能力。骨干扩规增强了集群的资金积聚能力。其示范意义值得进一步总结推广。应在发展实践中不断完善与优化。</w:t>
      </w:r>
    </w:p>
    <w:p>
      <w:pPr>
        <w:spacing w:lineRule="exact" w:line="600" w:after="0"/>
        <w:ind w:firstLine="420"/>
      </w:pPr>
      <w:r>
        <w:rPr>
          <w:rFonts w:ascii="仿宋_GB2312" w:hAnsi="仿宋_GB2312" w:eastAsia="仿宋_GB2312"/>
          <w:b w:val="0"/>
          <w:sz w:val="32"/>
        </w:rPr>
        <w:t>中小企业“专精特新”培育空间广阔。岱岳区累计培育专精特新企业九十三家、小巨人六家、单项冠军十二家，形成“大企业顶天立地、中小企业铺天盖地”生态。但相对化工巨头，本地中小企业单体规模仍偏小，需通过技改与梯度培育进一步做大做强。中小企业梯队仍须通过技改做优做强。该方向契合高质量发展根本要求。由此形成的协同合力正在加快显现。</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以民营资本为主体，国有及混合所有制协同。西尼尔为上海总部在岱岳基地，汉威集团、蓝天助剂等多为民营控股，市场活力强；联合农药等具一定国企背景，承担环境友好型农药供给职能。多元产权促进了资源与机制优势互补。多元产权促进了资源与机制优势的互补。长期看有利于集群实现行稳致远。从全市看，这一路径具有推广价值。</w:t>
      </w:r>
    </w:p>
    <w:p>
      <w:pPr>
        <w:spacing w:lineRule="exact" w:line="600" w:after="0"/>
        <w:ind w:firstLine="420"/>
      </w:pPr>
      <w:r>
        <w:rPr>
          <w:rFonts w:ascii="仿宋_GB2312" w:hAnsi="仿宋_GB2312" w:eastAsia="仿宋_GB2312"/>
          <w:b w:val="0"/>
          <w:sz w:val="32"/>
        </w:rPr>
        <w:t>总部经济与跨区域合作增多。西尼尔推进上海、江西生产基地迁入岱岳，实质将岱岳打造为最大生产基地，带来资本、技术与产能双重注入；蓝天助剂产业园等由龙头企业牵头，吸引上下游配套。产权与产能的跨区域集聚提升了产业链协同深度。总部基地迁入带来资本与技术的双重注入。需警惕潜在风险并保持战略定力。数字化与绿色化正成为关键变量。</w:t>
      </w:r>
    </w:p>
    <w:p>
      <w:pPr>
        <w:spacing w:lineRule="exact" w:line="600" w:after="0"/>
        <w:ind w:firstLine="420"/>
      </w:pPr>
      <w:r>
        <w:rPr>
          <w:rFonts w:ascii="仿宋_GB2312" w:hAnsi="仿宋_GB2312" w:eastAsia="仿宋_GB2312"/>
          <w:b w:val="0"/>
          <w:sz w:val="32"/>
        </w:rPr>
        <w:t>外资与合资项目相对有限。相较宁波、上海等化工高地，岱岳精细化工外资参与度不高，国际化工巨头直接投资较少。未来可借济南都市圈与泰西一体化区位，探索与韩日欧精细化工企业合资合作，优化产权结构、引入国际先进标准，提升开放水平。提升外资参与有助于引入国际先进标准。龙头牵引仍是集群壮大的主线索。循环化改造释放的红利仍将持续。</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汉威集团是医药化工链主，氯化胆碱国内市场占有率领跑，构建“营养品、医药及中间体、新材料”三大业务板块，医药及营养品板块朝二〇二七年营收五十亿元目标迈进；罗库溴铵、盐酸莫西沙星、碘酸钾等生产线加快建成，是集群价值攀升的核心牵引。汉威的氯化胆碱领先是集群价值攀升的核心牵引。公共平台补短是当务之急。区域承载力的提升支撑了集群扩张。</w:t>
      </w:r>
    </w:p>
    <w:p>
      <w:pPr>
        <w:spacing w:lineRule="exact" w:line="600" w:after="0"/>
        <w:ind w:firstLine="420"/>
      </w:pPr>
      <w:r>
        <w:rPr>
          <w:rFonts w:ascii="仿宋_GB2312" w:hAnsi="仿宋_GB2312" w:eastAsia="仿宋_GB2312"/>
          <w:b w:val="0"/>
          <w:sz w:val="32"/>
        </w:rPr>
        <w:t>西尼尔（山东）新材料科技是高端化工助剂链主，为园区内六家下游企业提供稳定剂及抗氧剂，原料水滑石由渤洋化工、聚合硫化剂由中福橡胶供应，链内配套紧密；推进上海、江西基地迁入岱岳，将岱岳打造成最大生产基地，行业竞争力持续增强。西尼尔的链内配套构成助剂集群的骨架。内外需协同将拓宽增长空间。要素集约利用水平决定未来上限。</w:t>
      </w:r>
    </w:p>
    <w:p>
      <w:pPr>
        <w:spacing w:lineRule="exact" w:line="600" w:after="0"/>
        <w:ind w:firstLine="420"/>
      </w:pPr>
      <w:r>
        <w:rPr>
          <w:rFonts w:ascii="仿宋_GB2312" w:hAnsi="仿宋_GB2312" w:eastAsia="仿宋_GB2312"/>
          <w:b w:val="0"/>
          <w:sz w:val="32"/>
        </w:rPr>
        <w:t>联合农药是环境友好型农药研发与生产链主，在国内地位日益凸显；蓝天助剂是高端化工助剂产业园重点项目，投资二十亿元建设蓝天助剂产业园。三家链主分别牵引助剂、医药、农药三条子链，共同构成集群头部矩阵与协同生态。三家链主分别牵引助剂、医药、农药三条子链。开放合作有望补上国际化短板。创新策源能力有待进一步夯实。</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以园聚企、以链串企”的强集聚特征。高端化工助剂产业园腾空土地一千零三十九亩，通过标准地出让缩短周期，已入驻蓝天助剂产业园、年产二十万吨多功能助剂等三个项目，南通新邦、常州君合等在谈，基础设施与产业链配套对集聚拉动明显。标准地与园中园模式形成的磁吸效应是集聚核心动力。安全底线须贯穿发展全过程。</w:t>
      </w:r>
    </w:p>
    <w:p>
      <w:pPr>
        <w:spacing w:lineRule="exact" w:line="600" w:after="0"/>
        <w:ind w:firstLine="420"/>
      </w:pPr>
      <w:r>
        <w:rPr>
          <w:rFonts w:ascii="仿宋_GB2312" w:hAnsi="仿宋_GB2312" w:eastAsia="仿宋_GB2312"/>
          <w:b w:val="0"/>
          <w:sz w:val="32"/>
        </w:rPr>
        <w:t>“三种招商模式”加速集聚。筑巢引凤型建标准化车间实现“拎包入住”；标准地出让型为龙头腾地缩短周期；孵化成长型无偿提供厂房与扶持基金，助推小微企业成长。多元模式定向引入轻资产、高成长项目，使集聚既重体量也重质量。三种招商模式使集聚既重体量也重质量。该趋势与全区工业整体走向基本一致。上述判断基于公开权威信息与实地资料。</w:t>
      </w:r>
    </w:p>
    <w:p>
      <w:pPr>
        <w:spacing w:lineRule="exact" w:line="600" w:after="0"/>
        <w:ind w:firstLine="420"/>
      </w:pPr>
      <w:r>
        <w:rPr>
          <w:rFonts w:ascii="仿宋_GB2312" w:hAnsi="仿宋_GB2312" w:eastAsia="仿宋_GB2312"/>
          <w:b w:val="0"/>
          <w:sz w:val="32"/>
        </w:rPr>
        <w:t>项目储备充裕支撑持续集聚。园区谋划高端化工助剂产业园总投资不少于七十亿元，“十四五”末销售收入二百亿元；汉威二期、蓝天助剂、瑞昆多功能助剂等加快建设。充裕项目梯次为集群滚动集聚提供了稳定来源，集聚效应有望进一步放大。充裕项目储备为集聚持续性提供了可靠保障。其经验对同类资源型园区具参考价值。相关成效仍在持续累积、逐步显现。</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随骨干扩规稳步提升，但整体强度仍低于发达化工园区。汉威、西尼尔等链主已建立研发体系并持续投入新工艺、新牌号；中小企业受利润与人才约束投入有限，需通过公共平台与产学研合作弥补个体投入不足，提升整体研发强度。链主研发体系是投入增长的主要拉动力量。需以系统思维加以统筹与推进。这为集群后续提质升级提供扎实基础。</w:t>
      </w:r>
    </w:p>
    <w:p>
      <w:pPr>
        <w:spacing w:lineRule="exact" w:line="600" w:after="0"/>
        <w:ind w:firstLine="420"/>
      </w:pPr>
      <w:r>
        <w:rPr>
          <w:rFonts w:ascii="仿宋_GB2312" w:hAnsi="仿宋_GB2312" w:eastAsia="仿宋_GB2312"/>
          <w:b w:val="0"/>
          <w:sz w:val="32"/>
        </w:rPr>
        <w:t>园区以项目化方式引导研发。链式招商引入带技术龙头，蓝天助剂、汉威二期等新建项目均含工艺研发内容；政府以技改补贴、创新券激励企业加大研发。岱岳区规上工业企业关键业务环节全面数字化率达百分之八十六，研发管理数字化同步推进。高门槛招商自带技术，引导了高水平投入。各方对此已形成较为广泛的共识。其示范意义值得进一步总结推广。</w:t>
      </w:r>
    </w:p>
    <w:p>
      <w:pPr>
        <w:spacing w:lineRule="exact" w:line="600" w:after="0"/>
        <w:ind w:firstLine="420"/>
      </w:pPr>
      <w:r>
        <w:rPr>
          <w:rFonts w:ascii="仿宋_GB2312" w:hAnsi="仿宋_GB2312" w:eastAsia="仿宋_GB2312"/>
          <w:b w:val="0"/>
          <w:sz w:val="32"/>
        </w:rPr>
        <w:t>公共创新资源投入持续加大。园区智慧化管理平台升级、中水二次回用等提升数字化与绿色化基础；但面向高端专用化学品的联合实验室、中试基地等专用研发投入仍显不足，是下一步补短板重点，需以公共平台释放企业研发空间。公共平台间接释放了企业可投入研发的空间。应在发展实践中不断完善与优化。该方向契合高质量发展根本要求。</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产品迭代与工艺改进为主。汉威氯化胆碱保持全国领先，西尼尔助剂在细分领域具竞争力，联合农药环境友好型农药行业地位凸显。岱岳区培育单项冠军企业十二家，体现细分领域创新成果竞争力，企业成长也侧面反映创新转化效益。产品持续迭代体现了创新成果的市场竞争力。由此形成的协同合力正在加快显现。长期看有利于集群实现行稳致远。</w:t>
      </w:r>
    </w:p>
    <w:p>
      <w:pPr>
        <w:spacing w:lineRule="exact" w:line="600" w:after="0"/>
        <w:ind w:firstLine="420"/>
      </w:pPr>
      <w:r>
        <w:rPr>
          <w:rFonts w:ascii="仿宋_GB2312" w:hAnsi="仿宋_GB2312" w:eastAsia="仿宋_GB2312"/>
          <w:b w:val="0"/>
          <w:sz w:val="32"/>
        </w:rPr>
        <w:t>数字化与绿色化创新成果突出。园区智慧化管理平台、智安化工园区建设属系统集成创新；岱岳区获批省级数字经济“晨星工厂”试点区，建成国家级智能制造场景一个、省级八个，培育省级“一企一技术”研发中心十一家，创新产出覆盖面广。系统集成创新是园区级降本增效的重要来源。从全市看，这一路径具有推广价值。需警惕潜在风险并保持战略定力。</w:t>
      </w:r>
    </w:p>
    <w:p>
      <w:pPr>
        <w:spacing w:lineRule="exact" w:line="600" w:after="0"/>
        <w:ind w:firstLine="420"/>
      </w:pPr>
      <w:r>
        <w:rPr>
          <w:rFonts w:ascii="仿宋_GB2312" w:hAnsi="仿宋_GB2312" w:eastAsia="仿宋_GB2312"/>
          <w:b w:val="0"/>
          <w:sz w:val="32"/>
        </w:rPr>
        <w:t>高价值专利与标准话语权仍待加强。尽管部分产品具全国领先份额，但公开可查发明专利、主持国家标准数量信息有限，原始创新与标准制定能力相对薄弱。应支持链主牵头组建创新联合体，在助剂、医药中间体优势领域沉淀更多专利与技术秘密。沉淀更多专利与标准，是下一步需补强方向。数字化与绿色化正成为关键变量。龙头牵引仍是集群壮大的主线索。</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园区级公共平台是创新体系主干。智慧化工园区平台提供安全、环保与能源协同管理；医药化工产业园自建或代建研发楼、公共分析测试中心、危化品仓库等基础设施，降低中小企业创新门槛。中水二次回用、智慧平台升级完善配套能级。智慧平台与医药园设施构成平台体系主干。循环化改造释放的红利仍将持续。公共平台补短是当务之急。</w:t>
      </w:r>
    </w:p>
    <w:p>
      <w:pPr>
        <w:spacing w:lineRule="exact" w:line="600" w:after="0"/>
        <w:ind w:firstLine="420"/>
      </w:pPr>
      <w:r>
        <w:rPr>
          <w:rFonts w:ascii="仿宋_GB2312" w:hAnsi="仿宋_GB2312" w:eastAsia="仿宋_GB2312"/>
          <w:b w:val="0"/>
          <w:sz w:val="32"/>
        </w:rPr>
        <w:t>企业研发平台逐步成型。汉威、西尼尔、联合农药等链主依托项目建立工艺与产品中试能力，内设研发与工程化功能。但面向行业开放的共性技术平台、检测认证中心数量仍有限，公共平台与企业平台衔接有待加强，需补强开放共享环节。企业平台逐步成型，但公共开放平台仍显不足。区域承载力的提升支撑了集群扩张。内外需协同将拓宽增长空间。</w:t>
      </w:r>
    </w:p>
    <w:p>
      <w:pPr>
        <w:spacing w:lineRule="exact" w:line="600" w:after="0"/>
        <w:ind w:firstLine="420"/>
      </w:pPr>
      <w:r>
        <w:rPr>
          <w:rFonts w:ascii="仿宋_GB2312" w:hAnsi="仿宋_GB2312" w:eastAsia="仿宋_GB2312"/>
          <w:b w:val="0"/>
          <w:sz w:val="32"/>
        </w:rPr>
        <w:t>产学研外部链接正在拓展。园区对接济南都市圈高校与药协资源，依托山东省医药工业百强企业招引机会强化合作。下一步可联合驻泰高校化工院系共建联合实验室与中试基地，弥补县域高端创新资源短板，提升平台整体能级与开放度。借力都市圈高校可弥补县域创新资源短板。要素集约利用水平决定未来上限。开放合作有望补上国际化短板。</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自转化与链内协同转化为主。西尼尔将稳定剂直供六家下游企业，渤洋化工水滑石、中福橡胶聚合硫化剂就近配套，实现装置级短链转化；汉威氯化胆碱向下游医药与营养品延伸，体现“研发—中试—量产”在园内高效落地。装置级短链转化是集群技术转化的突出特色。创新策源能力有待进一步夯实。安全底线须贯穿发展全过程。</w:t>
      </w:r>
    </w:p>
    <w:p>
      <w:pPr>
        <w:spacing w:lineRule="exact" w:line="600" w:after="0"/>
        <w:ind w:firstLine="420"/>
      </w:pPr>
      <w:r>
        <w:rPr>
          <w:rFonts w:ascii="仿宋_GB2312" w:hAnsi="仿宋_GB2312" w:eastAsia="仿宋_GB2312"/>
          <w:b w:val="0"/>
          <w:sz w:val="32"/>
        </w:rPr>
        <w:t>数字化平台加速转化效率。园区智慧化与数字化基础使新工艺参数可快速复制推广；岱岳数谷、天平湖数字港等数字平台为化工企业提供赋能。但公共中试基地缺乏，使部分外部科技成果难以就地转化，需补强工程化环节以畅通转化通道。数字平台显著缩短了从技术到市场的周期。该趋势与全区工业整体走向基本一致。上述判断基于公开权威信息与实地资料。</w:t>
      </w:r>
    </w:p>
    <w:p>
      <w:pPr>
        <w:spacing w:lineRule="exact" w:line="600" w:after="0"/>
        <w:ind w:firstLine="420"/>
      </w:pPr>
      <w:r>
        <w:rPr>
          <w:rFonts w:ascii="仿宋_GB2312" w:hAnsi="仿宋_GB2312" w:eastAsia="仿宋_GB2312"/>
          <w:b w:val="0"/>
          <w:sz w:val="32"/>
        </w:rPr>
        <w:t>转化成效已显现在规模与效益上。高端化工产值由二〇二四年精细化工八十亿元、二〇二五年高端化工七十三亿元持续释放，汉威板块朝五十亿元目标迈进，表明技术转化对增长贡献显著。建议设成果转化基金与中试共享平台，提升转化成功率。转化成效已切实反映在产值的持续增长上。其经验对同类资源型园区具参考价值。相关成效仍在持续累积、逐步显现。</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岱岳区为集群提供产业工人基础。化工产业对技能型操作工、仪表自动化与安全管理人才需求较大，泰安市区及周边劳动力成本相对低于胶东半岛，具备一定成本优势。但高端研发、工艺工程与国际化经营人才仍显不足，是集群向高端跃升的短板。劳动力成本优势为集群提供了稳定的工人基础。需以系统思维加以统筹与推进。这为集群后续提质升级提供扎实基础。</w:t>
      </w:r>
    </w:p>
    <w:p>
      <w:pPr>
        <w:spacing w:lineRule="exact" w:line="600" w:after="0"/>
        <w:ind w:firstLine="420"/>
      </w:pPr>
      <w:r>
        <w:rPr>
          <w:rFonts w:ascii="仿宋_GB2312" w:hAnsi="仿宋_GB2312" w:eastAsia="仿宋_GB2312"/>
          <w:b w:val="0"/>
          <w:sz w:val="32"/>
        </w:rPr>
        <w:t>人才引育依托企业与培训体系。链主企业自建技术团队并开展内部培训，园区通过“企业服务专员”机制协助引才；岱岳新城毗邻泰安站，教育、医疗等配套完善，提升人才安居吸引力。面向精细化工的高端人才政策与产教融合平台仍有完善空间。新城配套明显提升了人才留存与引育吸引力。各方对此已形成较为广泛的共识。其示范意义值得进一步总结推广。</w:t>
      </w:r>
    </w:p>
    <w:p>
      <w:pPr>
        <w:spacing w:lineRule="exact" w:line="600" w:after="0"/>
        <w:ind w:firstLine="420"/>
      </w:pPr>
      <w:r>
        <w:rPr>
          <w:rFonts w:ascii="仿宋_GB2312" w:hAnsi="仿宋_GB2312" w:eastAsia="仿宋_GB2312"/>
          <w:b w:val="0"/>
          <w:sz w:val="32"/>
        </w:rPr>
        <w:t>劳动力结构呈“操作为主、研发偏少”特征。规上企业数字化率百分之八十六提高对复合型技工需求，倒逼技能培训升级。未来应围绕助剂、医药中间体方向联合职业院校订单式培养，并加大高层次人才引进，逐步优化劳动力技能与学历结构。技能结构升级须与数字化改造同步推进。应在发展实践中不断完善与优化。该方向契合高质量发展根本要求。</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企业自投、银行信贷与产业基金为主。园区对龙头企业腾空土地一千零三十九亩并标准地出让，保障资本厚度；对轻资产小微企业设产业扶持基金提供设备购置支持，孵化成长型模式助企业“只带技术进园区”，缓解融资难。基金与标准地降低了中小企业落地与融资成本。由此形成的协同合力正在加快显现。长期看有利于集群实现行稳致远。</w:t>
      </w:r>
    </w:p>
    <w:p>
      <w:pPr>
        <w:spacing w:lineRule="exact" w:line="600" w:after="0"/>
        <w:ind w:firstLine="420"/>
      </w:pPr>
      <w:r>
        <w:rPr>
          <w:rFonts w:ascii="仿宋_GB2312" w:hAnsi="仿宋_GB2312" w:eastAsia="仿宋_GB2312"/>
          <w:b w:val="0"/>
          <w:sz w:val="32"/>
        </w:rPr>
        <w:t>直接融资渠道逐步拓宽。汉威集团等骨干加快扩规，政府引导企业上市挂牌；但整体看集群上市企业数量少，风险投资与并购基金活跃度不及一线城市，资本要素对创新的支撑仍待增强，需扩大基金规模并探索绿色金融工具。骨干扩规带动了更多企业谋划资本运作。从全市看，这一路径具有推广价值。需警惕潜在风险并保持战略定力。数字化与绿色化正成为关键变量。</w:t>
      </w:r>
    </w:p>
    <w:p>
      <w:pPr>
        <w:spacing w:lineRule="exact" w:line="600" w:after="0"/>
        <w:ind w:firstLine="420"/>
      </w:pPr>
      <w:r>
        <w:rPr>
          <w:rFonts w:ascii="仿宋_GB2312" w:hAnsi="仿宋_GB2312" w:eastAsia="仿宋_GB2312"/>
          <w:b w:val="0"/>
          <w:sz w:val="32"/>
        </w:rPr>
        <w:t>要素跟着项目走机制保障落地。岱岳区对工业项目实行清单化、台账式动态管理，筛选八十五个项目列入四类项目清单定期调度；高端化工助剂产业园总投资不少于七十亿元储备，显示资本投放持续性，建议进一步扩大产业基金规模。扩大基金规模有助于强化资本对创新的支撑。龙头牵引仍是集群壮大的主线索。循环化改造释放的红利仍将持续。</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园区土地空间经腾挪较为充裕。岱岳化工产业园起步区五点六五平方公里，高端化工助剂产业园腾空土地一千零三十九亩，通过标准地出让提高集约利用，能够承载后续项目。但化工用地指标稀缺，须以“标准地”与亩均效益导向提升土地利用效率。腾空土地能够承载后续高端化工助剂项目建设。公共平台补短是当务之急。区域承载力的提升支撑了集群扩张。</w:t>
      </w:r>
    </w:p>
    <w:p>
      <w:pPr>
        <w:spacing w:lineRule="exact" w:line="600" w:after="0"/>
        <w:ind w:firstLine="420"/>
      </w:pPr>
      <w:r>
        <w:rPr>
          <w:rFonts w:ascii="仿宋_GB2312" w:hAnsi="仿宋_GB2312" w:eastAsia="仿宋_GB2312"/>
          <w:b w:val="0"/>
          <w:sz w:val="32"/>
        </w:rPr>
        <w:t>能耗与煤耗约束是核心瓶颈。化工属高耗能行业，在能耗双控与“双碳”目标下，新上项目面临用能、用煤指标硬约束。需通过节能改造、绿电替代与等量替代平衡指标，优先保障高附加值、低排放项目用地用能，保障发展空间。集中节能是破解能耗硬约束的关键抓手。内外需协同将拓宽增长空间。要素集约利用水平决定未来上限。开放合作有望补上国际化短板。</w:t>
      </w:r>
    </w:p>
    <w:p>
      <w:pPr>
        <w:spacing w:lineRule="exact" w:line="600" w:after="0"/>
        <w:ind w:firstLine="420"/>
      </w:pPr>
      <w:r>
        <w:rPr>
          <w:rFonts w:ascii="仿宋_GB2312" w:hAnsi="仿宋_GB2312" w:eastAsia="仿宋_GB2312"/>
          <w:b w:val="0"/>
          <w:sz w:val="32"/>
        </w:rPr>
        <w:t>环境容量与排放指标趋紧。园区建成中水二次回用、智慧化管理平台，危废处置能力持续完善；但废水、废气总量指标与煤炭消费压减要求使部分高耗项目落地受限。未来应以亩均效益、能耗强度为导向，优先保障优质项目。亩均效益导向将引导资源向优质项目集中。创新策源能力有待进一步夯实。安全底线须贯穿发展全过程。该趋势与全区工业整体走向基本一致。</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禀赋体现在助剂与医药中间体基础。西尼尔所需水滑石由渤洋化工供应、聚合硫化剂由中福橡胶供应，实现园内配套；汉威氯化胆碱等以基础化工原料为依托。原料就近互供构成区别于孤立化工企业的成本优势与协同基础。园内原料配套是集群独特的资源禀赋。上述判断基于公开权威信息与实地资料。其经验对同类资源型园区具参考价值。</w:t>
      </w:r>
    </w:p>
    <w:p>
      <w:pPr>
        <w:spacing w:lineRule="exact" w:line="600" w:after="0"/>
        <w:ind w:firstLine="420"/>
      </w:pPr>
      <w:r>
        <w:rPr>
          <w:rFonts w:ascii="仿宋_GB2312" w:hAnsi="仿宋_GB2312" w:eastAsia="仿宋_GB2312"/>
          <w:b w:val="0"/>
          <w:sz w:val="32"/>
        </w:rPr>
        <w:t>园区配套降低原料获取成本。以西尼尔为核心，六家下游企业就近获取稳定剂与抗氧剂，原料运输与安全成本下降；渤洋、中福等配套企业同步受益，形成“原料—助剂—应用”闭环，显著增强集群原料保障能力与议价能力。隔墙供应把资源禀赋转化为真实的成本优势。相关成效仍在持续累积、逐步显现。需以系统思维加以统筹与推进。这为集群后续提质升级提供扎实基础。</w:t>
      </w:r>
    </w:p>
    <w:p>
      <w:pPr>
        <w:spacing w:lineRule="exact" w:line="600" w:after="0"/>
        <w:ind w:firstLine="420"/>
      </w:pPr>
      <w:r>
        <w:rPr>
          <w:rFonts w:ascii="仿宋_GB2312" w:hAnsi="仿宋_GB2312" w:eastAsia="仿宋_GB2312"/>
          <w:b w:val="0"/>
          <w:sz w:val="32"/>
        </w:rPr>
        <w:t>外部资源依赖仍存。部分高端催化剂、特种单体仍需外购，园区自身不产油气，基础原料部分依赖外运。应扩大园内基础原料种类与稳定性，并向下游关键单体延伸，减少对外部高端原料依赖，巩固循环与协同的资源禀赋根基。降低外部高端原料依赖需向关键单体延伸。各方对此已形成较为广泛的共识。其示范意义值得进一步总结推广。应在发展实践中不断完善与优化。</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主要面向国内塑料、橡胶、造纸、医药与饲料等下游市场。西尼尔稳定剂、抗氧剂供应橡塑与造纸企业，汉威氯化胆碱供应饲料与医药营养品领域，国内大循环为集群提供稳定需求基本盘，细分产品在国内占有重要地位。国内大循环为集群提供了稳定的需求基本盘。该方向契合高质量发展根本要求。由此形成的协同合力正在加快显现。</w:t>
      </w:r>
    </w:p>
    <w:p>
      <w:pPr>
        <w:spacing w:lineRule="exact" w:line="600" w:after="0"/>
        <w:ind w:firstLine="420"/>
      </w:pPr>
      <w:r>
        <w:rPr>
          <w:rFonts w:ascii="仿宋_GB2312" w:hAnsi="仿宋_GB2312" w:eastAsia="仿宋_GB2312"/>
          <w:b w:val="0"/>
          <w:sz w:val="32"/>
        </w:rPr>
        <w:t>区域市场以山东及华东为主。园区毗邻京沪高铁泰安站，地处济南都市圈与泰西一体化核心，物流辐射华北与长三角。便捷交通与区位使集群可低成本对接国内主要化工消费市场，区域集散功能逐步增强，有利于拓展国内营销网络。区位与交通优势增强了集群的区域集散能力。长期看有利于集群实现行稳致远。从全市看，这一路径具有推广价值。</w:t>
      </w:r>
    </w:p>
    <w:p>
      <w:pPr>
        <w:spacing w:lineRule="exact" w:line="600" w:after="0"/>
        <w:ind w:firstLine="420"/>
      </w:pPr>
      <w:r>
        <w:rPr>
          <w:rFonts w:ascii="仿宋_GB2312" w:hAnsi="仿宋_GB2312" w:eastAsia="仿宋_GB2312"/>
          <w:b w:val="0"/>
          <w:sz w:val="32"/>
        </w:rPr>
        <w:t>国内市场竞争加剧倒逼差异化。助剂、农药等行业产能充足、同质化明显，集群凭借配套与成本优势稳住份额，但需通过产品升级避开价格战。建议深耕专用型、环保型牌号，依托数字平台提升国内议价与渠道掌控能力，稳固内销基本盘。差异化升级是稳住内销份额的必然选择。需警惕潜在风险并保持战略定力。数字化与绿色化正成为关键变量。</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中间体与专用化学品出口为主，公开系统数据有限。汉威氯化胆碱等具全国领先份额，暗示其参与国际供应链；但具体出口额、主要市场与贸易方式未见权威披露，初步估算外贸占集群营收比重不高，仍以满足国内产业链需求为主。隐形冠军产品蕴含可观的出口增长潜力。龙头牵引仍是集群壮大的主线索。循环化改造释放的红利仍将持续。</w:t>
      </w:r>
    </w:p>
    <w:p>
      <w:pPr>
        <w:spacing w:lineRule="exact" w:line="600" w:after="0"/>
        <w:ind w:firstLine="420"/>
      </w:pPr>
      <w:r>
        <w:rPr>
          <w:rFonts w:ascii="仿宋_GB2312" w:hAnsi="仿宋_GB2312" w:eastAsia="仿宋_GB2312"/>
          <w:b w:val="0"/>
          <w:sz w:val="32"/>
        </w:rPr>
        <w:t>出口潜力在于细分领域隐形冠军。抗氧剂、稳定剂、氯化胆碱、医药中间体等具备全球或全国竞争力，若强化国际认证与海外渠道，出口空间可观。目前园区国际营销网络薄弱，制约出口扩张，可借济南都市圈与区位优势拓展韩日及东南亚市场。国际营销网络薄弱是当前出口扩张的主要制约。公共平台补短是当务之急。区域承载力的提升支撑了集群扩张。</w:t>
      </w:r>
    </w:p>
    <w:p>
      <w:pPr>
        <w:spacing w:lineRule="exact" w:line="600" w:after="0"/>
        <w:ind w:firstLine="420"/>
      </w:pPr>
      <w:r>
        <w:rPr>
          <w:rFonts w:ascii="仿宋_GB2312" w:hAnsi="仿宋_GB2312" w:eastAsia="仿宋_GB2312"/>
          <w:b w:val="0"/>
          <w:sz w:val="32"/>
        </w:rPr>
        <w:t>需关注贸易壁垒与合规风险。精细化工产品出口面临REACH等国际化学品法规、碳边境调节等合规要求，中小企业应对能力弱。集群应建立公共合规与认证服务平台，统一应对国际法规，降低出海门槛，稳步提升外向度而不盲目扩张。公共合规平台可系统性降低企业出海门槛。内外需协同将拓宽增长空间。要素集约利用水平决定未来上限。</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企业品牌与单项冠军为主。汉威氯化胆碱全国领先、西尼尔助剂具行业影响力、联合农药环境友好型农药地位凸显，岱岳区培育单项冠军企业十二家。但集群整体公共品牌“岱岳精细化工”的对外辨识度仍低于单个企业品牌，需统一形象。企业单项冠军是集群品牌资产的重要组成。开放合作有望补上国际化短板。创新策源能力有待进一步夯实。</w:t>
      </w:r>
    </w:p>
    <w:p>
      <w:pPr>
        <w:spacing w:lineRule="exact" w:line="600" w:after="0"/>
        <w:ind w:firstLine="420"/>
      </w:pPr>
      <w:r>
        <w:rPr>
          <w:rFonts w:ascii="仿宋_GB2312" w:hAnsi="仿宋_GB2312" w:eastAsia="仿宋_GB2312"/>
          <w:b w:val="0"/>
          <w:sz w:val="32"/>
        </w:rPr>
        <w:t>区域品牌与园区品牌正在培育。高端化工入选省级先进制造业集群，岱岳化工产业园获智慧化工园区、智安化工园区等称号，提升园区级品牌资产。建议统一“岱岳精细化工”对外形象，以集群品牌赋能中小企业，形成“区域+企业”双品牌矩阵。统一区域形象有助于更好地赋能中小企业。安全底线须贯穿发展全过程。该趋势与全区工业整体走向基本一致。</w:t>
      </w:r>
    </w:p>
    <w:p>
      <w:pPr>
        <w:spacing w:lineRule="exact" w:line="600" w:after="0"/>
        <w:ind w:firstLine="420"/>
      </w:pPr>
      <w:r>
        <w:rPr>
          <w:rFonts w:ascii="仿宋_GB2312" w:hAnsi="仿宋_GB2312" w:eastAsia="仿宋_GB2312"/>
          <w:b w:val="0"/>
          <w:sz w:val="32"/>
        </w:rPr>
        <w:t>品牌国际化刚起步。相较国内认知，集群在国际市场影响力有限，主要依赖头部企业产品话语权。应支持链主参与国际标准制定、海外展会与认证，以单项冠军产品带动集群品牌出海，逐步从“产品出海”走向“品牌出海”，提升全球位势。品牌国际化宜从产品出海逐步走向品牌出海。上述判断基于公开权威信息与实地资料。其经验对同类资源型园区具参考价值。</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下游需求向绿色、安全、专用方向升级。橡塑、造纸对环保型助剂需求增长，饲料与医药对营养品、中间体需求稳健，农药向低毒高效转型。集群的抗氧剂、稳定剂、氯化胆碱、医药中间体恰好契合趋势，需求端结构性利好明显。绿色专用升级趋势与集群优势产品方向相契合。相关成效仍在持续累积、逐步显现。需以系统思维加以统筹与推进。</w:t>
      </w:r>
    </w:p>
    <w:p>
      <w:pPr>
        <w:spacing w:lineRule="exact" w:line="600" w:after="0"/>
        <w:ind w:firstLine="420"/>
      </w:pPr>
      <w:r>
        <w:rPr>
          <w:rFonts w:ascii="仿宋_GB2312" w:hAnsi="仿宋_GB2312" w:eastAsia="仿宋_GB2312"/>
          <w:b w:val="0"/>
          <w:sz w:val="32"/>
        </w:rPr>
        <w:t>新能源与电子化学品打开新增量。高端助剂向电子化学品、特种功能材料延伸，医药营养品对接大健康需求，园区规划相关园中园正对接此趋势。需求端由传统助剂向“助剂+医药+电子”延展，为集群打开第二增长曲线。医药与电子化学品为集群打开第二增长曲线。这为集群后续提质升级提供扎实基础。各方对此已形成较为广泛的共识。</w:t>
      </w:r>
    </w:p>
    <w:p>
      <w:pPr>
        <w:spacing w:lineRule="exact" w:line="600" w:after="0"/>
        <w:ind w:firstLine="420"/>
      </w:pPr>
      <w:r>
        <w:rPr>
          <w:rFonts w:ascii="仿宋_GB2312" w:hAnsi="仿宋_GB2312" w:eastAsia="仿宋_GB2312"/>
          <w:b w:val="0"/>
          <w:sz w:val="32"/>
        </w:rPr>
        <w:t>需求波动与周期风险需警惕。化工品价格受宏观经济与产能周期影响大，助剂、农药存在景气波动。集群应建立需求监测与产能弹性调节机制，避免过度集中于单一周期品，以多元化产品组合平滑需求端波动对营收的冲击。建立需求监测可平滑周期波动对营收的冲击。其示范意义值得进一步总结推广。应在发展实践中不断完善与优化。该方向契合高质量发展根本要求。</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化工集群竞争激烈。泰安市内宁阳、肥城、新泰化工园与岱岳错位发展，但均在精细化工、新材料布局；烟台、东营、淄博等化工强市在体量与技术积累上更优。岱岳以助剂与医药中间体特色形成差异，但须持续巩固“配套+链主”比较优势。配套与链主优势是岱岳差异化竞争的根基。由此形成的协同合力正在加快显现。长期看有利于集群实现行稳致远。</w:t>
      </w:r>
    </w:p>
    <w:p>
      <w:pPr>
        <w:spacing w:lineRule="exact" w:line="600" w:after="0"/>
        <w:ind w:firstLine="420"/>
      </w:pPr>
      <w:r>
        <w:rPr>
          <w:rFonts w:ascii="仿宋_GB2312" w:hAnsi="仿宋_GB2312" w:eastAsia="仿宋_GB2312"/>
          <w:b w:val="0"/>
          <w:sz w:val="32"/>
        </w:rPr>
        <w:t>全国层面面临先进园区挤压。宁波、上海、南京等在高端专用化学品、新材料领先，岱岳在原创技术与终端牌号上差距明显。集群宜聚焦抗氧剂、稳定剂、氯化胆碱、医药中间体等已具优势领域做深做精，避免与巨头正面竞争基础大宗品。聚焦优势领域可规避与化工巨头的正面竞争。从全市看，这一路径具有推广价值。需警惕潜在风险并保持战略定力。</w:t>
      </w:r>
    </w:p>
    <w:p>
      <w:pPr>
        <w:spacing w:lineRule="exact" w:line="600" w:after="0"/>
        <w:ind w:firstLine="420"/>
      </w:pPr>
      <w:r>
        <w:rPr>
          <w:rFonts w:ascii="仿宋_GB2312" w:hAnsi="仿宋_GB2312" w:eastAsia="仿宋_GB2312"/>
          <w:b w:val="0"/>
          <w:sz w:val="32"/>
        </w:rPr>
        <w:t>周边县域同质化招商隐忧。鲁中、鲁西多地竞相发展化工与新材，项目招引存在补贴竞争。岱岳凭借西尼尔、汉威等链主与三种招商模式形成真实成本与配套优势，应坚持精准招商、以质取胜，保持区域竞争的差异化韧性。以质取胜方能抵御周边的同质化招商竞争。数字化与绿色化正成为关键变量。龙头牵引仍是集群壮大的主线索。循环化改造释放的红利仍将持续。</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产业链高端环节偏弱。上游助剂与中间体占比偏大，高端专用化学品、终端制剂比重偏低，部分关键单体与催化剂依赖外购，整体附加值有待提升。需加快向电子化学品、特色原料药延伸，补齐价值链中高端短板，推动由规模扩张转向价值提升。补齐高端环节是提升整体附加值的核心抓手。公共平台补短是当务之急。区域承载力的提升支撑了集群扩张。</w:t>
      </w:r>
    </w:p>
    <w:p>
      <w:pPr>
        <w:spacing w:lineRule="exact" w:line="600" w:after="0"/>
        <w:ind w:firstLine="420"/>
      </w:pPr>
      <w:r>
        <w:rPr>
          <w:rFonts w:ascii="仿宋_GB2312" w:hAnsi="仿宋_GB2312" w:eastAsia="仿宋_GB2312"/>
          <w:b w:val="0"/>
          <w:sz w:val="32"/>
        </w:rPr>
        <w:t>创新平台与人才支撑不足。公共中试基地、共性技术平台欠缺，高端研发与工程人才短缺，制约原始创新与成果转化。企业应加大研发但个体能力有限，需以公共平台补位，并强化与高校院所合作，破解“卡脖子”工艺与配方瓶颈，夯实创新根基。平台与人才补位是实现创新突围的重要前提。内外需协同将拓宽增长空间。要素集约利用水平决定未来上限。</w:t>
      </w:r>
    </w:p>
    <w:p>
      <w:pPr>
        <w:spacing w:lineRule="exact" w:line="600" w:after="0"/>
        <w:ind w:firstLine="420"/>
      </w:pPr>
      <w:r>
        <w:rPr>
          <w:rFonts w:ascii="仿宋_GB2312" w:hAnsi="仿宋_GB2312" w:eastAsia="仿宋_GB2312"/>
          <w:b w:val="0"/>
          <w:sz w:val="32"/>
        </w:rPr>
        <w:t>安全环保集中风险突出。化工企业集聚使安全与环境风险集中，监管压力大；部分老装置本质安全水平需提升。园区虽为智安化工园区，但仍须持续投入智能化监测、应急演练与封闭管理，守住安全环保底线，避免“一失万无”的系统性风险。守住安全环保底线是集聚稳定发展的前提。开放合作有望补上国际化短板。创新策源能力有待进一步夯实。</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宏观与周期风险。化工行业强周期，全球经济增长放缓、下游需求走弱将冲击助剂、农药价格与销量；国际油价波动影响成本。集群应增强产品组合韧性与成本管控，平滑周期波动带来的营收起伏，提升抗周期能力。增强韧性可平滑宏观周期波动带来的冲击。安全底线须贯穿发展全过程。该趋势与全区工业整体走向基本一致。上述判断基于公开权威信息与实地资料。</w:t>
      </w:r>
    </w:p>
    <w:p>
      <w:pPr>
        <w:spacing w:lineRule="exact" w:line="600" w:after="0"/>
        <w:ind w:firstLine="420"/>
      </w:pPr>
      <w:r>
        <w:rPr>
          <w:rFonts w:ascii="仿宋_GB2312" w:hAnsi="仿宋_GB2312" w:eastAsia="仿宋_GB2312"/>
          <w:b w:val="0"/>
          <w:sz w:val="32"/>
        </w:rPr>
        <w:t>政策与合规风险。“双碳”目标、能耗双控、煤炭消费压减与环境容量约束趋严，新项目能评环评门槛提高；化学品国际法规增加出口合规成本。政策不确定性要求集群提前布局节能降碳与绿色工艺，降低合规冲击与政策变动风险。提前布局绿色工艺可降低政策合规冲击。其经验对同类资源型园区具参考价值。相关成效仍在持续累积、逐步显现。</w:t>
      </w:r>
    </w:p>
    <w:p>
      <w:pPr>
        <w:spacing w:lineRule="exact" w:line="600" w:after="0"/>
        <w:ind w:firstLine="420"/>
      </w:pPr>
      <w:r>
        <w:rPr>
          <w:rFonts w:ascii="仿宋_GB2312" w:hAnsi="仿宋_GB2312" w:eastAsia="仿宋_GB2312"/>
          <w:b w:val="0"/>
          <w:sz w:val="32"/>
        </w:rPr>
        <w:t>供应链与地缘风险。高端催化剂、特种单体对外依赖，国际物流与贸易摩擦可能断供。建议建立关键原料储备与多源采购，推进基础原料国产化替代，增强供应链韧性与抗地缘扰动能力，保障产业链安全稳定。多源采购与国产替代保障供应链安全。需以系统思维加以统筹与推进。这为集群后续提质升级提供扎实基础。各方对此已形成较为广泛的共识。</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将高端化工列为“十强产业”重点，推动化工园区认定与循环经济发展。岱岳精细化工入选省级特色产业集群、省级先进制造业集群，获政策与资金支持；山东省建设鲁南国家级煤化工基地等部署也为园区协同提供顶层指引，设计明确。省级定位为集群提供了明确的政策支持。其示范意义值得进一步总结推广。应在发展实践中不断完善与优化。</w:t>
      </w:r>
    </w:p>
    <w:p>
      <w:pPr>
        <w:spacing w:lineRule="exact" w:line="600" w:after="0"/>
        <w:ind w:firstLine="420"/>
      </w:pPr>
      <w:r>
        <w:rPr>
          <w:rFonts w:ascii="仿宋_GB2312" w:hAnsi="仿宋_GB2312" w:eastAsia="仿宋_GB2312"/>
          <w:b w:val="0"/>
          <w:sz w:val="32"/>
        </w:rPr>
        <w:t>泰安市出台化工园区发展定位指导意见。二〇二四年市工信局会同八部门制发指导意见，明确岱岳园区“化工助剂+医药化工”双轮驱动格局，打造千亩级高端化工助剂产业园与医药化工产业园，强化链式发展与错位协同，定位清晰。市级指导意见固化了“双轮驱动”空间布局。该方向契合高质量发展根本要求。由此形成的协同合力正在加快显现。</w:t>
      </w:r>
    </w:p>
    <w:p>
      <w:pPr>
        <w:spacing w:lineRule="exact" w:line="600" w:after="0"/>
        <w:ind w:firstLine="420"/>
      </w:pPr>
      <w:r>
        <w:rPr>
          <w:rFonts w:ascii="仿宋_GB2312" w:hAnsi="仿宋_GB2312" w:eastAsia="仿宋_GB2312"/>
          <w:b w:val="0"/>
          <w:sz w:val="32"/>
        </w:rPr>
        <w:t>国家绿色低碳与安全政策刚性约束。能耗双控、环保要求、化工园区安全整治提升等顶层设计既规范又倒逼转型。岱岳以智慧化工园区、智安化工园区建设对接要求，将政策压力转化为循环化、智能化升级动力，实现规范与发展统一。主动对接顶层要求是规范与发展的统一路径。长期看有利于集群实现行稳致远。从全市看，这一路径具有推广价值。</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岱岳区实施新型工业化强区战略，将高端化工列为四大主导产业之一重点培育。政府以产业链图谱精准招商，设十亿元以上入园门槛（高端化工助剂产业园总投资不少于七十亿元），推动产业向高端化攀升，政策资源持续向集群倾斜。首位产业定位汇聚了全区的政策与资源。需警惕潜在风险并保持战略定力。数字化与绿色化正成为关键变量。</w:t>
      </w:r>
    </w:p>
    <w:p>
      <w:pPr>
        <w:spacing w:lineRule="exact" w:line="600" w:after="0"/>
        <w:ind w:firstLine="420"/>
      </w:pPr>
      <w:r>
        <w:rPr>
          <w:rFonts w:ascii="仿宋_GB2312" w:hAnsi="仿宋_GB2312" w:eastAsia="仿宋_GB2312"/>
          <w:b w:val="0"/>
          <w:sz w:val="32"/>
        </w:rPr>
        <w:t>“链长制”与专班机制到位。二〇二二年起实施“链长制”，精细化工产业链专班绘制“1234”路线图，以汉威、西尼尔、联合农药三家链主为龙头，坚持精准策划、腾笼换鸟、技改扩规、要素保障四原则，助力项目快建设、早投产。链长制与专员机制提升了企业服务效率。龙头牵引仍是集群壮大的主线索。循环化改造释放的红利仍将持续。</w:t>
      </w:r>
    </w:p>
    <w:p>
      <w:pPr>
        <w:spacing w:lineRule="exact" w:line="600" w:after="0"/>
        <w:ind w:firstLine="420"/>
      </w:pPr>
      <w:r>
        <w:rPr>
          <w:rFonts w:ascii="仿宋_GB2312" w:hAnsi="仿宋_GB2312" w:eastAsia="仿宋_GB2312"/>
          <w:b w:val="0"/>
          <w:sz w:val="32"/>
        </w:rPr>
        <w:t>财政与空间扶持组合发力。腾空土地一千零三十九亩标准地出让，设产业扶持基金助小微企业购设备，建标准化车间实现“拎包入住”；孵化成长型无偿提供厂房与扶持基金。多元扶持降低落地与成长成本，构成优良本地营商环境基础。组合式扶持降低了企业落地与成长成本。公共平台补短是当务之急。区域承载力的提升支撑了集群扩张。</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基础设施配套较为完善。园区建成智慧化管理平台、中水二次回用，路水电热气讯齐备；建工业水厂、污水处理厂、消防站等。医药化工产业园自建或代建研发楼、公共分析测试中心、危化品仓库，显著提升配套能级与本质安全水平。智慧平台与医药园设施显著提升了配套能级。内外需协同将拓宽增长空间。要素集约利用水平决定未来上限。</w:t>
      </w:r>
    </w:p>
    <w:p>
      <w:pPr>
        <w:spacing w:lineRule="exact" w:line="600" w:after="0"/>
        <w:ind w:firstLine="420"/>
      </w:pPr>
      <w:r>
        <w:rPr>
          <w:rFonts w:ascii="仿宋_GB2312" w:hAnsi="仿宋_GB2312" w:eastAsia="仿宋_GB2312"/>
          <w:b w:val="0"/>
          <w:sz w:val="32"/>
        </w:rPr>
        <w:t>物流与数字配套支撑有力。园区毗邻京沪高铁泰安站，交通便捷；岱岳数谷、天平湖数字港等数字平台提供算力与产业赋能。配套从物理设施延伸到数字与金融服务，降低企业综合运营成本，是集群核心竞争力的重要构成部分。数字与交通配套降低了企业综合运营成本。开放合作有望补上国际化短板。创新策源能力有待进一步夯实。安全底线须贯穿发展全过程。</w:t>
      </w:r>
    </w:p>
    <w:p>
      <w:pPr>
        <w:spacing w:lineRule="exact" w:line="600" w:after="0"/>
        <w:ind w:firstLine="420"/>
      </w:pPr>
      <w:r>
        <w:rPr>
          <w:rFonts w:ascii="仿宋_GB2312" w:hAnsi="仿宋_GB2312" w:eastAsia="仿宋_GB2312"/>
          <w:b w:val="0"/>
          <w:sz w:val="32"/>
        </w:rPr>
        <w:t>公共服务平台仍待补强。面向精细化工的公共检测、中试、认证、合规平台不足，中小企业获取高端服务成本高。建议依托园区建设共享中试基地与化学品登记咨询中心，完善从研发到合规落地的公共服务链，提升配套“软环境”水平。补强软平台是完善公共配套的关键一环。该趋势与全区工业整体走向基本一致。上述判断基于公开权威信息与实地资料。</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产业链专班发挥类协会协调功能。岱岳精细化工产业链专班统筹链主与配套企业协同，组织延链补链与项目调度，实质承担行业协调角色。相较纯市场化协会，政府主导专班在资源调度上更高效，但在行业标准、对外交流上仍需专业协会补位。政府专班调度高效，但仍需专业协会补位。其经验对同类资源型园区具参考价值。相关成效仍在持续累积、逐步显现。</w:t>
      </w:r>
    </w:p>
    <w:p>
      <w:pPr>
        <w:spacing w:lineRule="exact" w:line="600" w:after="0"/>
        <w:ind w:firstLine="420"/>
      </w:pPr>
      <w:r>
        <w:rPr>
          <w:rFonts w:ascii="仿宋_GB2312" w:hAnsi="仿宋_GB2312" w:eastAsia="仿宋_GB2312"/>
          <w:b w:val="0"/>
          <w:sz w:val="32"/>
        </w:rPr>
        <w:t>省市级化工与医药协会提供支撑。园区企业参与山东省高端化工、医药相关行业协会，借助协会获取政策、技术与市场信息；在泰安市化工园区发展定位政策评价中，行业协会与高校专家参与座谈，体现协会在政企沟通中的桥梁作用。行业协会在政企沟通中发挥桥梁作用。需以系统思维加以统筹与推进。这为集群后续提质升级提供扎实基础。</w:t>
      </w:r>
    </w:p>
    <w:p>
      <w:pPr>
        <w:spacing w:lineRule="exact" w:line="600" w:after="0"/>
        <w:ind w:firstLine="420"/>
      </w:pPr>
      <w:r>
        <w:rPr>
          <w:rFonts w:ascii="仿宋_GB2312" w:hAnsi="仿宋_GB2312" w:eastAsia="仿宋_GB2312"/>
          <w:b w:val="0"/>
          <w:sz w:val="32"/>
        </w:rPr>
        <w:t>建议强化行业协会赋能。可推动成立岱岳精细化工产业联盟，联合链主企业与高校，开展联合技术攻关、人才培训与集体出海。以协会化运作弥补政府专班在市场端、国际端不足，形成“政府+协会+企业”协同治理，提升组织化水平。成立产业联盟可提升集群组织化水平。各方对此已形成较为广泛的共识。其示范意义值得进一步总结推广。</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对区域经济贡献突出。二〇二四年精细化工产值突破八十亿元，二〇二五年高端化工产值达七十三亿元并入选省级先进制造业集群；高端化工助剂产业园规划“十四五”末销售收入二百亿元，成为岱岳工业总量与质量双突破的重要支撑。集群已成为区域工业总量突破的重要支撑。应在发展实践中不断完善与优化。该方向契合高质量发展根本要求。</w:t>
      </w:r>
    </w:p>
    <w:p>
      <w:pPr>
        <w:spacing w:lineRule="exact" w:line="600" w:after="0"/>
        <w:ind w:firstLine="420"/>
      </w:pPr>
      <w:r>
        <w:rPr>
          <w:rFonts w:ascii="仿宋_GB2312" w:hAnsi="仿宋_GB2312" w:eastAsia="仿宋_GB2312"/>
          <w:b w:val="0"/>
          <w:sz w:val="32"/>
        </w:rPr>
        <w:t>财政与投资拉动明显。二〇二五年全区规上工业增加值年均增百分之七点九，工业税收占总税收比重提高七个百分点以上；八十五个工业项目清单化推进，高端化工投资持续转化为税收与就业。汉威板块朝五十亿元目标迈进，经济乘数效应显著。投资与税收的乘数效应持续释放。由此形成的协同合力正在加快显现。长期看有利于集群实现行稳致远。</w:t>
      </w:r>
    </w:p>
    <w:p>
      <w:pPr>
        <w:spacing w:lineRule="exact" w:line="600" w:after="0"/>
        <w:ind w:firstLine="420"/>
      </w:pPr>
      <w:r>
        <w:rPr>
          <w:rFonts w:ascii="仿宋_GB2312" w:hAnsi="仿宋_GB2312" w:eastAsia="仿宋_GB2312"/>
          <w:b w:val="0"/>
          <w:sz w:val="32"/>
        </w:rPr>
        <w:t>循环与协同释放集约效益。以西尼尔为核心的“原料—助剂—应用”闭环降低物流与配套成本，智安园区提升本质安全。协同经济使单位产出资源消耗下降，经济效应由规模扩张转向“规模+效率”双轮驱动，质效同步提升。协同集约使经济效应转向双轮驱动。从全市看，这一路径具有推广价值。需警惕潜在风险并保持战略定力。数字化与绿色化正成为关键变量。</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直接创造大量产业岗位。岱岳化工产业园集聚汉威、西尼尔、联合农药、蓝天助剂等骨干及众多配套企业，吸纳操作工、仪表自动化、安全管理等技能劳动力。链主项目体量大，单个即具可观吸纳能力，是全区稳就业的重要蓄水池。链主项目是全区稳就业的重要蓄水池。龙头牵引仍是集群壮大的主线索。循环化改造释放的红利仍将持续。</w:t>
      </w:r>
    </w:p>
    <w:p>
      <w:pPr>
        <w:spacing w:lineRule="exact" w:line="600" w:after="0"/>
        <w:ind w:firstLine="420"/>
      </w:pPr>
      <w:r>
        <w:rPr>
          <w:rFonts w:ascii="仿宋_GB2312" w:hAnsi="仿宋_GB2312" w:eastAsia="仿宋_GB2312"/>
          <w:b w:val="0"/>
          <w:sz w:val="32"/>
        </w:rPr>
        <w:t>带动配套与服务业就业。管廊与物流、检测、数字平台等配套环节创造工程与运维岗位；上下游中小企业集聚衍生商贸、维修、培训等服务业就业。集群以“园聚企、企带岗”模式，对城镇化与居民收入提升形成稳定而持续的支撑。配套集聚衍生了多元的服务业就业岗位。公共平台补短是当务之急。区域承载力的提升支撑了集群扩张。内外需协同将拓宽增长空间。</w:t>
      </w:r>
    </w:p>
    <w:p>
      <w:pPr>
        <w:spacing w:lineRule="exact" w:line="600" w:after="0"/>
        <w:ind w:firstLine="420"/>
      </w:pPr>
      <w:r>
        <w:rPr>
          <w:rFonts w:ascii="仿宋_GB2312" w:hAnsi="仿宋_GB2312" w:eastAsia="仿宋_GB2312"/>
          <w:b w:val="0"/>
          <w:sz w:val="32"/>
        </w:rPr>
        <w:t>就业结构向技能型升级。规上企业数字化率百分之八十六提高对复合型技工需求，倒逼技能培训；但高端研发岗仍稀缺。建议完善产教融合与工匠培育，使就业效应由数量吸纳转向质量提升，更好匹配集群高端化人才要求。就业质量提升需匹配集群高端化要求。要素集约利用水平决定未来上限。开放合作有望补上国际化短板。创新策源能力有待进一步夯实。</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溢出带动关联产业。化工园区智慧化、数字化模式被新材料、现代食品等产业借鉴；汉威医药、西尼尔助剂等创新向外辐射，形成跨产业技术溢出，壮大岱岳“四大主导产业”协同生态，放大集群外部收益。技术溢出壮大了全区“四大主导产业”协同生态。安全底线须贯穿发展全过程。该趋势与全区工业整体走向基本一致。上述判断基于公开权威信息与实地资料。</w:t>
      </w:r>
    </w:p>
    <w:p>
      <w:pPr>
        <w:spacing w:lineRule="exact" w:line="600" w:after="0"/>
        <w:ind w:firstLine="420"/>
      </w:pPr>
      <w:r>
        <w:rPr>
          <w:rFonts w:ascii="仿宋_GB2312" w:hAnsi="仿宋_GB2312" w:eastAsia="仿宋_GB2312"/>
          <w:b w:val="0"/>
          <w:sz w:val="32"/>
        </w:rPr>
        <w:t>基础设施溢出惠及周边。智慧平台、中水回用等提升全区安环与市政水平；京沪高铁泰安站与园区联动增强全区物流能级。集群基础设施的准公共品属性，使溢出效应超越园区边界，惠及区域发展与民生福祉，体现公共价值。基础设施溢出惠及周边区域民生。其经验对同类资源型园区具参考价值。相关成效仍在持续累积、逐步显现。需以系统思维加以统筹与推进。</w:t>
      </w:r>
    </w:p>
    <w:p>
      <w:pPr>
        <w:spacing w:lineRule="exact" w:line="600" w:after="0"/>
        <w:ind w:firstLine="420"/>
      </w:pPr>
      <w:r>
        <w:rPr>
          <w:rFonts w:ascii="仿宋_GB2312" w:hAnsi="仿宋_GB2312" w:eastAsia="仿宋_GB2312"/>
          <w:b w:val="0"/>
          <w:sz w:val="32"/>
        </w:rPr>
        <w:t>招商溢出提升区域声誉。岱岳以三种招商模式与链主牵引形成口碑，高端化工助剂产业园等案例增强区域吸引力。集群作为“招牌”产生的品牌溢出，正重塑岱岳整体产业形象与投资环境，形成良性循环。品牌溢出正重塑岱岳整体投资环境。这为集群后续提质升级提供扎实基础。各方对此已形成较为广泛的共识。其示范意义值得进一步总结推广。</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助推新型工业化强区建设。岱岳区以集群为主引擎实施新型工业化，建成国家级智能制造场景、省级绿色工厂等，产城融合提升公共服务水平；从业人员就近城镇化，促进城乡人口与公共服务均衡，社会效应外延至宜居宜业城市建设。产城融合提升了公共服务的均衡水平。应在发展实践中不断完善与优化。该方向契合高质量发展根本要求。</w:t>
      </w:r>
    </w:p>
    <w:p>
      <w:pPr>
        <w:spacing w:lineRule="exact" w:line="600" w:after="0"/>
        <w:ind w:firstLine="420"/>
      </w:pPr>
      <w:r>
        <w:rPr>
          <w:rFonts w:ascii="仿宋_GB2312" w:hAnsi="仿宋_GB2312" w:eastAsia="仿宋_GB2312"/>
          <w:b w:val="0"/>
          <w:sz w:val="32"/>
        </w:rPr>
        <w:t>安全环保治理改善人居环境。智安化工园区、智慧平台提升安全监管，中水回用降低环境风险，降低化工对周边居民的健康风险，社会接受度与安全感提升，利于集群长期稳定运营与社区和谐，形成良性社企关系。安全环保治理切实改善了人居环境。由此形成的协同合力正在加快显现。长期看有利于集群实现行稳致远。从全市看，这一路径具有推广价值。</w:t>
      </w:r>
    </w:p>
    <w:p>
      <w:pPr>
        <w:spacing w:lineRule="exact" w:line="600" w:after="0"/>
        <w:ind w:firstLine="420"/>
      </w:pPr>
      <w:r>
        <w:rPr>
          <w:rFonts w:ascii="仿宋_GB2312" w:hAnsi="仿宋_GB2312" w:eastAsia="仿宋_GB2312"/>
          <w:b w:val="0"/>
          <w:sz w:val="32"/>
        </w:rPr>
        <w:t>区域认同与示范效应增强。岱岳精细化工入选省级特色与先进制造业集群，成为产业名片，增强干部群众发展信心；其“链长制+三种招商”模式为同类园区提供可借鉴路径，产生积极的社会示范价值与推广意义。示范效应为同类园区提供可借鉴路径。需警惕潜在风险并保持战略定力。数字化与绿色化正成为关键变量。龙头牵引仍是集群壮大的主线索。</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仍面临四方面问题：一是产业链上游助剂与中间体占比偏大，高端专用化学品与终端制剂比重偏低，价值链中高端环节偏弱；二是公共中试、共性技术与高端人才支撑不足，原始创新与成果转化存在短板；三是安全环保集中风险突出，能耗煤耗与环境容量约束趋紧。各类问题相互交织，须多维度系统施策破解。循环化改造释放的红利仍将持续。</w:t>
      </w:r>
    </w:p>
    <w:p>
      <w:pPr>
        <w:spacing w:lineRule="exact" w:line="600" w:after="0"/>
        <w:ind w:firstLine="420"/>
      </w:pPr>
      <w:r>
        <w:rPr>
          <w:rFonts w:ascii="仿宋_GB2312" w:hAnsi="仿宋_GB2312" w:eastAsia="仿宋_GB2312"/>
          <w:b w:val="0"/>
          <w:sz w:val="32"/>
        </w:rPr>
        <w:t>四是外向度与品牌国际化水平不高，外贸占比有限、国际营销网络薄弱；区域同质化招商与周期波动带来竞争与经营风险。上述问题相互交织，需在补链强链、创新提升、要素保障与政策优化上系统施策，方能支撑“十四五”末二百亿元集群目标。支撑二百亿目标，必须补齐上述关键短板。公共平台补短是当务之急。区域承载力的提升支撑了集群扩张。</w:t>
      </w:r>
    </w:p>
    <w:p>
      <w:pPr>
        <w:spacing w:lineRule="exact" w:line="600" w:after="0"/>
        <w:ind w:firstLine="420"/>
      </w:pPr>
      <w:r>
        <w:rPr>
          <w:rFonts w:ascii="仿宋_GB2312" w:hAnsi="仿宋_GB2312" w:eastAsia="仿宋_GB2312"/>
          <w:b w:val="0"/>
          <w:sz w:val="32"/>
        </w:rPr>
        <w:t>问题根源在于“大而不强、聚而不精”。企业数量与空间快速扩张的同时，单位产出附加值、高端牌号丰富度、国际话语权仍有差距。下一步应以质效为核心，推动从规模驱动转向创新驱动、从基础中间体导向转向终端增值导向的深层转型。深层转型应以质效为核心取向。内外需协同将拓宽增长空间。要素集约利用水平决定未来上限。开放合作有望补上国际化短板。</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向上游巩固基础原料优势。扩大园内水滑石、聚合硫化剂等配套种类与稳定性，延伸“原料—助剂—应用”链条，打通关键单体国产化，降低对外依赖，筑牢精细化工基础原料底座，确保链条安全可控、供给稳定可靠。巩固上游是链条安全可控的重要基础。创新策源能力有待进一步夯实。安全底线须贯穿发展全过程。该趋势与全区工业整体走向基本一致。</w:t>
      </w:r>
    </w:p>
    <w:p>
      <w:pPr>
        <w:spacing w:lineRule="exact" w:line="600" w:after="0"/>
        <w:ind w:firstLine="420"/>
      </w:pPr>
      <w:r>
        <w:rPr>
          <w:rFonts w:ascii="仿宋_GB2312" w:hAnsi="仿宋_GB2312" w:eastAsia="仿宋_GB2312"/>
          <w:b w:val="0"/>
          <w:sz w:val="32"/>
        </w:rPr>
        <w:t>向中游做强助剂与医药中间体优势领域。聚焦抗氧剂、稳定剂、阻燃剂、氯化胆碱、甜菜碱等已具全国竞争力的环节，做深牌号、做精工艺，巩固汉威、西尼尔、联合农药的领先地位，形成“数个隐形冠军+完整配套”的中游强链格局。做强中游锚定已具竞争力的优势环节。上述判断基于公开权威信息与实地资料。其经验对同类资源型园区具参考价值。</w:t>
      </w:r>
    </w:p>
    <w:p>
      <w:pPr>
        <w:spacing w:lineRule="exact" w:line="600" w:after="0"/>
        <w:ind w:firstLine="420"/>
      </w:pPr>
      <w:r>
        <w:rPr>
          <w:rFonts w:ascii="仿宋_GB2312" w:hAnsi="仿宋_GB2312" w:eastAsia="仿宋_GB2312"/>
          <w:b w:val="0"/>
          <w:sz w:val="32"/>
        </w:rPr>
        <w:t>向下游延伸高端新材料与终端。依托高端化工助剂产业园、医药化工产业园，向电子化学品、特种功能材料、特色原料药与制剂延伸，对接新能源、大健康需求，打开第二曲线，实现由中间体向高附加值终端制品的延链增值跨越。延伸下游对接新能源与大健康的新增需求。相关成效仍在持续累积、逐步显现。需以系统思维加以统筹与推进。</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企业倍增计划。支持汉威、西尼尔、联合农药、蓝天助剂四家链主延链补链，鼓励并购与产能整合，力争培育营收五十亿级乃至百亿级旗舰；推动骨干企业再融资扩产，发挥资本标杆带动作用，提升企业规模能级与抗风险能力。链主倍增将提升集群整体规模能级。这为集群后续提质升级提供扎实基础。各方对此已形成较为广泛的共识。</w:t>
      </w:r>
    </w:p>
    <w:p>
      <w:pPr>
        <w:spacing w:lineRule="exact" w:line="600" w:after="0"/>
        <w:ind w:firstLine="420"/>
      </w:pPr>
      <w:r>
        <w:rPr>
          <w:rFonts w:ascii="仿宋_GB2312" w:hAnsi="仿宋_GB2312" w:eastAsia="仿宋_GB2312"/>
          <w:b w:val="0"/>
          <w:sz w:val="32"/>
        </w:rPr>
        <w:t>梯度培育“专精特新”中小企业。建立中小企业培育库，对配套助剂、制剂、设备企业给足“标准地+基金+中试”支持，目标新增一批省级专精特新、单项冠军与瞪羚企业，形成大中小企业融通生态，避免“大树底下不长草”，增强内生活力。梯度培育可避免“大树底下不长草”。其示范意义值得进一步总结推广。应在发展实践中不断完善与优化。</w:t>
      </w:r>
    </w:p>
    <w:p>
      <w:pPr>
        <w:spacing w:lineRule="exact" w:line="600" w:after="0"/>
        <w:ind w:firstLine="420"/>
      </w:pPr>
      <w:r>
        <w:rPr>
          <w:rFonts w:ascii="仿宋_GB2312" w:hAnsi="仿宋_GB2312" w:eastAsia="仿宋_GB2312"/>
          <w:b w:val="0"/>
          <w:sz w:val="32"/>
        </w:rPr>
        <w:t>引育并重优化企业结构。坚持精准招商招大引强，同时孵化轻资产高成长项目；探索外资与合资突破，引入韩日欧精细化工企业，优化产权与产品结构。以“链主+配套+新锐”三层企业矩阵夯实集群主体基础，提升整体竞争力。引育并重优化企业结构与产权构成。该方向契合高质量发展根本要求。由此形成的协同合力正在加快显现。长期看有利于集群实现行稳致远。</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公共创新与中试平台。依托智慧化工园区扩建行业级工业互联网，联合驻泰高校共建精细化工联合实验室与共享中试基地，弥补县域高端平台短板，打通“实验室—生产线”工程化堵点，提升原始创新能力与转化效率。中试平台打通“实验室—生产线”关键堵点。从全市看，这一路径具有推广价值。需警惕潜在风险并保持战略定力。数字化与绿色化正成为关键变量。</w:t>
      </w:r>
    </w:p>
    <w:p>
      <w:pPr>
        <w:spacing w:lineRule="exact" w:line="600" w:after="0"/>
        <w:ind w:firstLine="420"/>
      </w:pPr>
      <w:r>
        <w:rPr>
          <w:rFonts w:ascii="仿宋_GB2312" w:hAnsi="仿宋_GB2312" w:eastAsia="仿宋_GB2312"/>
          <w:b w:val="0"/>
          <w:sz w:val="32"/>
        </w:rPr>
        <w:t>激励企业研发投入与成果转化。对链主企业新建研发中心、首台套工艺给补贴；设立成果转化基金，支持助剂、医药中间体等优势领域沉淀专利与标准；鼓励参与国际标准制定，以单项冠军产品带动技术话语权由国内走向全球，增强创新话语权。激励转化以沉淀专利与标准话语权。龙头牵引仍是集群壮大的主线索。循环化改造释放的红利仍将持续。</w:t>
      </w:r>
    </w:p>
    <w:p>
      <w:pPr>
        <w:spacing w:lineRule="exact" w:line="600" w:after="0"/>
        <w:ind w:firstLine="420"/>
      </w:pPr>
      <w:r>
        <w:rPr>
          <w:rFonts w:ascii="仿宋_GB2312" w:hAnsi="仿宋_GB2312" w:eastAsia="仿宋_GB2312"/>
          <w:b w:val="0"/>
          <w:sz w:val="32"/>
        </w:rPr>
        <w:t>推动数字绿色双赋能。扩大规上企业数字化覆盖至研发与供应链协同，推广先进工艺降耗减排；以智安园区深化循环创新，建设零碳智慧园区试点，使创新既提效又减碳，契合精细化工可持续发展方向与“双碳”目标要求。数字绿色双赋能契合可持续发展方向。公共平台补短是当务之急。区域承载力的提升支撑了集群扩张。内外需协同将拓宽增长空间。</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破解能耗煤耗约束。推进节能改造与绿电替代，探索能耗等量替代与指标统筹；优先保障高附加值、低排放项目用能，以亩均效益与能耗强度引导资源向优质项目集中，平衡扩能与“双碳”要求，保障发展空间。节能与绿电替代破解能耗硬约束。要素集约利用水平决定未来上限。开放合作有望补上国际化短板。创新策源能力有待进一步夯实。</w:t>
      </w:r>
    </w:p>
    <w:p>
      <w:pPr>
        <w:spacing w:lineRule="exact" w:line="600" w:after="0"/>
        <w:ind w:firstLine="420"/>
      </w:pPr>
      <w:r>
        <w:rPr>
          <w:rFonts w:ascii="仿宋_GB2312" w:hAnsi="仿宋_GB2312" w:eastAsia="仿宋_GB2312"/>
          <w:b w:val="0"/>
          <w:sz w:val="32"/>
        </w:rPr>
        <w:t>优化土地与资本供给。通过腾空土地与标准地出让提高集约利用，保障高端化工助剂产业园用地；扩大产业基金与供应链金融规模，支持企业上市挂牌与并购，探索化工专项债与绿色金融工具，缓解中小企业融资难，强化资本要素支撑。土地资本组合保障高端化工助剂园建设。安全底线须贯穿发展全过程。该趋势与全区工业整体走向基本一致。</w:t>
      </w:r>
    </w:p>
    <w:p>
      <w:pPr>
        <w:spacing w:lineRule="exact" w:line="600" w:after="0"/>
        <w:ind w:firstLine="420"/>
      </w:pPr>
      <w:r>
        <w:rPr>
          <w:rFonts w:ascii="仿宋_GB2312" w:hAnsi="仿宋_GB2312" w:eastAsia="仿宋_GB2312"/>
          <w:b w:val="0"/>
          <w:sz w:val="32"/>
        </w:rPr>
        <w:t>强化人才与原料保障。订单式培养技工与工艺工程师，引育高端研发人才；扩大园内基础原料自给，建立关键单体储备与多源采购，增强供应链韧性。以“要素跟着项目走”机制统筹保障，确保重点项目快落地、早达产、早见效。人才原料统筹增强供应链韧性。上述判断基于公开权威信息与实地资料。其经验对同类资源型园区具参考价值。</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落实市级定位指导意见。严格执行市级确立的“化工助剂+医药化工”双轮驱动布局，强化与宁阳、肥城、新泰错位协同，避免同质化内耗；将集群规划融入全区新型工业化与“十五五”规划，保持政策连续性与战略定力，久久为功。落实市级意见须保持战略定力。相关成效仍在持续累积、逐步显现。需以系统思维加以统筹与推进。这为集群后续提质升级提供扎实基础。</w:t>
      </w:r>
    </w:p>
    <w:p>
      <w:pPr>
        <w:spacing w:lineRule="exact" w:line="600" w:after="0"/>
        <w:ind w:firstLine="420"/>
      </w:pPr>
      <w:r>
        <w:rPr>
          <w:rFonts w:ascii="仿宋_GB2312" w:hAnsi="仿宋_GB2312" w:eastAsia="仿宋_GB2312"/>
          <w:b w:val="0"/>
          <w:sz w:val="32"/>
        </w:rPr>
        <w:t>升级营商环境与公共服务。完善“企业服务专员”“要素跟着项目走”机制，建设共享检测、中试、认证与合规平台；以协会化运作补政府专班市场端不足，成立岱岳精细化工产业联盟，提升组织化与对外交流水平，打造一流营商品牌。升级服务与公共平台打造一流营商。各方对此已形成较为广泛的共识。其示范意义值得进一步总结推广。</w:t>
      </w:r>
    </w:p>
    <w:p>
      <w:pPr>
        <w:spacing w:lineRule="exact" w:line="600" w:after="0"/>
        <w:ind w:firstLine="420"/>
      </w:pPr>
      <w:r>
        <w:rPr>
          <w:rFonts w:ascii="仿宋_GB2312" w:hAnsi="仿宋_GB2312" w:eastAsia="仿宋_GB2312"/>
          <w:b w:val="0"/>
          <w:sz w:val="32"/>
        </w:rPr>
        <w:t>争取上级试点与开放平台。积极申报国家级绿色园区、智安化工园区与中韩绿色合作项目，对接省级先进制造业集群政策红利；以开放平台拓展国际认证与渠道，稳步提升外向度与品牌国际化，将政策优势转化为集群持续跃升的强劲动能。争取试点将政策优势转为跃升动能。应在发展实践中不断完善与优化。该方向契合高质量发展根本要求。</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岱岳区人民政府：泰安市岱岳区2024年政府工作报告（2024-02-05），http://www.daiyue.gov.cn/art/2024/2/5/art_173580_10338845.html</w:t>
      </w:r>
    </w:p>
    <w:p>
      <w:pPr>
        <w:spacing w:lineRule="exact" w:line="600" w:after="0"/>
        <w:ind w:firstLine="0"/>
      </w:pPr>
      <w:r>
        <w:rPr>
          <w:rFonts w:ascii="仿宋_GB2312" w:hAnsi="仿宋_GB2312" w:eastAsia="仿宋_GB2312"/>
          <w:b w:val="0"/>
          <w:sz w:val="32"/>
        </w:rPr>
        <w:t>2. 岱岳区人民政府：岱岳区新型工业化激活区域经济发展“主引擎”（2026-05-15），http://www.daiyue.gov.cn/art/2026/5/15/art_47148_10379125.html</w:t>
      </w:r>
    </w:p>
    <w:p>
      <w:pPr>
        <w:spacing w:lineRule="exact" w:line="600" w:after="0"/>
        <w:ind w:firstLine="0"/>
      </w:pPr>
      <w:r>
        <w:rPr>
          <w:rFonts w:ascii="仿宋_GB2312" w:hAnsi="仿宋_GB2312" w:eastAsia="仿宋_GB2312"/>
          <w:b w:val="0"/>
          <w:sz w:val="32"/>
        </w:rPr>
        <w:t>3. 岱岳融媒：链式布局蓄势能 集群成势强引擎——岱岳区上半年产业链发展势头强劲，https://iapp.daiyuerongmei.cn/share/YS0yOTMtNDQyNzY5OTg.html</w:t>
      </w:r>
    </w:p>
    <w:p>
      <w:pPr>
        <w:spacing w:lineRule="exact" w:line="600" w:after="0"/>
        <w:ind w:firstLine="0"/>
      </w:pPr>
      <w:r>
        <w:rPr>
          <w:rFonts w:ascii="仿宋_GB2312" w:hAnsi="仿宋_GB2312" w:eastAsia="仿宋_GB2312"/>
          <w:b w:val="0"/>
          <w:sz w:val="32"/>
        </w:rPr>
        <w:t>4. 泰安市人民政府：《关于进一步明确各开发区（园区）功能定位的建议》的答复（2024-08-01），https://www.taian.gov.cn/art/2024/8/1/art_176933_32960.html</w:t>
      </w:r>
    </w:p>
    <w:p>
      <w:pPr>
        <w:spacing w:lineRule="exact" w:line="600" w:after="0"/>
        <w:ind w:firstLine="0"/>
      </w:pPr>
      <w:r>
        <w:rPr>
          <w:rFonts w:ascii="仿宋_GB2312" w:hAnsi="仿宋_GB2312" w:eastAsia="仿宋_GB2312"/>
          <w:b w:val="0"/>
          <w:sz w:val="32"/>
        </w:rPr>
        <w:t>5. 中国网：山东岱岳创新招商模式 激活产业振兴“新引擎”（2023-10-07），https://stzg.china.com.cn/m/2023-10/07/content_42542838.htm</w:t>
      </w:r>
    </w:p>
    <w:p>
      <w:pPr>
        <w:spacing w:lineRule="exact" w:line="600" w:after="0"/>
        <w:ind w:firstLine="0"/>
      </w:pPr>
      <w:r>
        <w:rPr>
          <w:rFonts w:ascii="仿宋_GB2312" w:hAnsi="仿宋_GB2312" w:eastAsia="仿宋_GB2312"/>
          <w:b w:val="0"/>
          <w:sz w:val="32"/>
        </w:rPr>
        <w:t>6. 岱岳区人民政府：泰安市岱岳区2026年政府工作报告（2026-02-12），http://www.daiyue.gov.cn/art/2026/2/12/art_173580_10375844.html?xxgkhide=1</w:t>
      </w:r>
    </w:p>
    <w:p>
      <w:pPr>
        <w:spacing w:lineRule="exact" w:line="600" w:after="0"/>
        <w:ind w:firstLine="0"/>
      </w:pPr>
      <w:r>
        <w:rPr>
          <w:rFonts w:ascii="仿宋_GB2312" w:hAnsi="仿宋_GB2312" w:eastAsia="仿宋_GB2312"/>
          <w:b w:val="0"/>
          <w:sz w:val="32"/>
        </w:rPr>
        <w:t>7. 人民号：岱岳区“链长制”强力驱动 迈向高端化工产业链，https://www.peopleapp.com/rmharticle/30027436133</w:t>
      </w:r>
    </w:p>
    <w:p>
      <w:pPr>
        <w:spacing w:lineRule="exact" w:line="600" w:after="0"/>
        <w:ind w:firstLine="0"/>
      </w:pPr>
      <w:r>
        <w:rPr>
          <w:rFonts w:ascii="仿宋_GB2312" w:hAnsi="仿宋_GB2312" w:eastAsia="仿宋_GB2312"/>
          <w:b w:val="0"/>
          <w:sz w:val="32"/>
        </w:rPr>
        <w:t>8. 泰安市工信局：关于《泰安市各化工园区发展定位与主导产业发展方向指导意见》政策评价情况（2025-12-30），https://gxj.taian.gov.cn/art/2025/12/30/art_336296_10305240.html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