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40" w:after="360" w:lineRule="exact" w:line="600"/>
        <w:jc w:val="center"/>
      </w:pPr>
      <w:r>
        <w:rPr>
          <w:rFonts w:ascii="方正小标宋简体" w:hAnsi="方正小标宋简体" w:eastAsia="方正小标宋简体"/>
          <w:b w:val="0"/>
          <w:sz w:val="44"/>
        </w:rPr>
        <w:t>济南市莱芜区高端装备特色产业集群发展研究报告</w:t>
      </w:r>
    </w:p>
    <w:p>
      <w:pPr>
        <w:spacing w:before="240" w:after="120" w:lineRule="exact" w:line="600"/>
      </w:pPr>
      <w:r>
        <w:rPr>
          <w:rFonts w:ascii="黑体" w:hAnsi="黑体" w:eastAsia="黑体"/>
          <w:b w:val="0"/>
          <w:sz w:val="32"/>
        </w:rPr>
        <w:t>一、集群基础概况</w:t>
      </w:r>
    </w:p>
    <w:p>
      <w:pPr>
        <w:spacing w:before="120" w:after="120" w:lineRule="exact" w:line="600"/>
      </w:pPr>
      <w:r>
        <w:rPr>
          <w:rFonts w:ascii="楷体_GB2312" w:hAnsi="楷体_GB2312" w:eastAsia="楷体_GB2312"/>
          <w:b w:val="0"/>
          <w:sz w:val="32"/>
        </w:rPr>
        <w:t>（一）集群基本属性</w:t>
      </w:r>
    </w:p>
    <w:p>
      <w:pPr>
        <w:spacing w:lineRule="exact" w:line="600" w:after="0"/>
        <w:ind w:firstLine="420"/>
      </w:pPr>
      <w:r>
        <w:rPr>
          <w:rFonts w:ascii="仿宋_GB2312" w:hAnsi="仿宋_GB2312" w:eastAsia="仿宋_GB2312"/>
          <w:b w:val="0"/>
          <w:sz w:val="32"/>
        </w:rPr>
        <w:t>济南市莱芜区高端装备制造产业集群于二〇二四年入选山东省省级中小企业特色产业集群，是济南市“黄河流域先进制造业中心、省会城市副中心”建设的重要支撑，在全省高端装备产业格局中占据重要地位。集群以山东重工绿色智造产业城为引擎，形成“整车+汽车零部件+物流”全产业链条，产业组织形态成熟，区域带动能力稳步增强，已经成为县域经济名副其实的支柱板块与核心增长极。</w:t>
      </w:r>
    </w:p>
    <w:p>
      <w:pPr>
        <w:spacing w:lineRule="exact" w:line="600" w:after="0"/>
        <w:ind w:firstLine="420"/>
      </w:pPr>
      <w:r>
        <w:rPr>
          <w:rFonts w:ascii="仿宋_GB2312" w:hAnsi="仿宋_GB2312" w:eastAsia="仿宋_GB2312"/>
          <w:b w:val="0"/>
          <w:sz w:val="32"/>
        </w:rPr>
        <w:t>从基本属性看，集群属于典型的装备制造型特色产业集群，兼具整机引领与零部件配套双重特征，发展路径清晰且辨识度极高。智能制造与高端装备产业入选全国首批创新型产业集群试点、山东省首批入选的四个产业集群之一，并被认定为山东省中小企业特色产业集群，特色优势鲜明，集群属性稳定而独特。从中可见，夯实产业基础并稳步固链强链，是稳当前、谋长远的必然选择。</w:t>
      </w:r>
    </w:p>
    <w:p>
      <w:pPr>
        <w:spacing w:lineRule="exact" w:line="600" w:after="0"/>
        <w:ind w:firstLine="420"/>
      </w:pPr>
      <w:r>
        <w:rPr>
          <w:rFonts w:ascii="仿宋_GB2312" w:hAnsi="仿宋_GB2312" w:eastAsia="仿宋_GB2312"/>
          <w:b w:val="0"/>
          <w:sz w:val="32"/>
        </w:rPr>
        <w:t>集群以高端装备为核心环节，向上衔接精品钢与先进材料，向下有效连通汽车、新能源、电力装备与智能运维，是莱芜区当之无愧的第一大支柱产业。高端装备产业集群入选省级特色产业集群，既是对集群特色的权威认可，也显著提升了其在全省装备制造业版图中的话语权，为后续争取政策与要素资源创造了有利条件。由此判断，把既有优势转化为持久竞争力，仍需久久为功、持续加力。</w:t>
      </w:r>
    </w:p>
    <w:p>
      <w:pPr>
        <w:spacing w:before="120" w:after="120" w:lineRule="exact" w:line="600"/>
      </w:pPr>
      <w:r>
        <w:rPr>
          <w:rFonts w:ascii="楷体_GB2312" w:hAnsi="楷体_GB2312" w:eastAsia="楷体_GB2312"/>
          <w:b w:val="0"/>
          <w:sz w:val="32"/>
        </w:rPr>
        <w:t>（二）规模体量</w:t>
      </w:r>
    </w:p>
    <w:p>
      <w:pPr>
        <w:spacing w:lineRule="exact" w:line="600" w:after="0"/>
        <w:ind w:firstLine="420"/>
      </w:pPr>
      <w:r>
        <w:rPr>
          <w:rFonts w:ascii="仿宋_GB2312" w:hAnsi="仿宋_GB2312" w:eastAsia="仿宋_GB2312"/>
          <w:b w:val="0"/>
          <w:sz w:val="32"/>
        </w:rPr>
        <w:t>据公开数据，莱芜区高端装备制造产业现有中小企业数量一百七十四家，其中高端装备制造领域规模以上企业九十四家，总产值超四百二十六亿元，撑起了区域工业的“半壁江山”。依托山东重工绿色智造产业城，智能网联重卡、凯傲叉车、豪驰汽车三辆整车先后落地投产，形成十六万辆重卡、二万台叉车、二万台商用物流车产能，规模体量在山东省装备制造中稳居前列。</w:t>
      </w:r>
    </w:p>
    <w:p>
      <w:pPr>
        <w:spacing w:lineRule="exact" w:line="600" w:after="0"/>
        <w:ind w:firstLine="420"/>
      </w:pPr>
      <w:r>
        <w:rPr>
          <w:rFonts w:ascii="仿宋_GB2312" w:hAnsi="仿宋_GB2312" w:eastAsia="仿宋_GB2312"/>
          <w:b w:val="0"/>
          <w:sz w:val="32"/>
        </w:rPr>
        <w:t>从发展态势看，集群规模持续扩张。中国重汽济南卡车股份有限公司产量规模突破十万辆大关，带动三十家配套企业集聚发展，二〇二四年汽车产业链条产值突破三百五十亿元。山东重工绿色智造产业城规划总投资一千五百三十五亿元，三至五年可达到千亿级规模，抗风险能力强，为集群进一步做大做强提供了雄厚的物质支撑与产能保障。展望未来，在政策与市场共同作用下，相关领域有望迎来更高质量的发展。</w:t>
      </w:r>
    </w:p>
    <w:p>
      <w:pPr>
        <w:spacing w:lineRule="exact" w:line="600" w:after="0"/>
        <w:ind w:firstLine="420"/>
      </w:pPr>
      <w:r>
        <w:rPr>
          <w:rFonts w:ascii="仿宋_GB2312" w:hAnsi="仿宋_GB2312" w:eastAsia="仿宋_GB2312"/>
          <w:b w:val="0"/>
          <w:sz w:val="32"/>
        </w:rPr>
        <w:t>集群的体量优势还体现在全区工业底盘上。莱芜区二〇二四年工业总产值实现一千三百零七亿元、总量居全市第二位，地区生产总值突破千亿元大关，获评山东省工业强县、山东省民营经济高质量发展先进区。高端装备作为核心引擎，对区域经济增长贡献突出，规模能级与区域影响力持续抬升，发展前景值得期待。应当看到，机遇与挑战并存，唯有主动作为方能巩固并扩大既有领先优势。</w:t>
      </w:r>
    </w:p>
    <w:p>
      <w:pPr>
        <w:spacing w:before="120" w:after="120" w:lineRule="exact" w:line="600"/>
      </w:pPr>
      <w:r>
        <w:rPr>
          <w:rFonts w:ascii="楷体_GB2312" w:hAnsi="楷体_GB2312" w:eastAsia="楷体_GB2312"/>
          <w:b w:val="0"/>
          <w:sz w:val="32"/>
        </w:rPr>
        <w:t>（三）主导产业</w:t>
      </w:r>
    </w:p>
    <w:p>
      <w:pPr>
        <w:spacing w:lineRule="exact" w:line="600" w:after="0"/>
        <w:ind w:firstLine="420"/>
      </w:pPr>
      <w:r>
        <w:rPr>
          <w:rFonts w:ascii="仿宋_GB2312" w:hAnsi="仿宋_GB2312" w:eastAsia="仿宋_GB2312"/>
          <w:b w:val="0"/>
          <w:sz w:val="32"/>
        </w:rPr>
        <w:t>集群主导产业的第一板块是汽车与交通装备，以智能网联重卡、凯傲智能叉车、豪驰新能源物流车为代表，形成“整车+汽车零部件+物流”全产业链，是产值贡献最大、拉动最强的核心领域，也是集群特色优势的主要承载部分，在全区工业经济中分量极重，对财税与就业贡献突出，是集群竞争力的根本所在。实践说明，依托龙头带动与协同配套，可有效提升整体运行效率与抗风险韧性。</w:t>
      </w:r>
    </w:p>
    <w:p>
      <w:pPr>
        <w:spacing w:lineRule="exact" w:line="600" w:after="0"/>
        <w:ind w:firstLine="420"/>
      </w:pPr>
      <w:r>
        <w:rPr>
          <w:rFonts w:ascii="仿宋_GB2312" w:hAnsi="仿宋_GB2312" w:eastAsia="仿宋_GB2312"/>
          <w:b w:val="0"/>
          <w:sz w:val="32"/>
        </w:rPr>
        <w:t>集群主导产业的第二板块是电力装备与新能源，以正泰电缆超高压电缆、泰莱电气智能变配电装备、鲁能开源智能变压器为代表，产品涵盖线缆、智能电力设备与新能源装备，品类丰富度高。其中正泰电缆为济南唯一具备一百一十千伏及以上超高压电缆生产能力的企业，体现出集群较强的技术适配能力与细分领先优势。需要强调的是，相关工作的系统性与协同性，直接关系集群升级的成败。</w:t>
      </w:r>
    </w:p>
    <w:p>
      <w:pPr>
        <w:spacing w:lineRule="exact" w:line="600" w:after="0"/>
        <w:ind w:firstLine="420"/>
      </w:pPr>
      <w:r>
        <w:rPr>
          <w:rFonts w:ascii="仿宋_GB2312" w:hAnsi="仿宋_GB2312" w:eastAsia="仿宋_GB2312"/>
          <w:b w:val="0"/>
          <w:sz w:val="32"/>
        </w:rPr>
        <w:t>集群主导产业的第三板块是精品钢与先进材料装备，以泰钢集团四百系不锈钢（占全国市场份额百分之二十五）、高端锻件、冶金装备为代表，深度融合智能制造与绿色制造，延伸出高附加值产品梯队。该板块是集群响应高端化、绿色化定位向价值链高端转型的重要增长极，未来发展空间广阔，应作为升级主攻方向予以重点培育。综合研判，集群已具备一定基础，下一步须在补链延链上取得实质性突破。</w:t>
      </w:r>
    </w:p>
    <w:p>
      <w:pPr>
        <w:spacing w:before="240" w:after="120" w:lineRule="exact" w:line="600"/>
      </w:pPr>
      <w:r>
        <w:rPr>
          <w:rFonts w:ascii="黑体" w:hAnsi="黑体" w:eastAsia="黑体"/>
          <w:b w:val="0"/>
          <w:sz w:val="32"/>
        </w:rPr>
        <w:t>二、产业链结构分析</w:t>
      </w:r>
    </w:p>
    <w:p>
      <w:pPr>
        <w:spacing w:before="120" w:after="120" w:lineRule="exact" w:line="600"/>
      </w:pPr>
      <w:r>
        <w:rPr>
          <w:rFonts w:ascii="楷体_GB2312" w:hAnsi="楷体_GB2312" w:eastAsia="楷体_GB2312"/>
          <w:b w:val="0"/>
          <w:sz w:val="32"/>
        </w:rPr>
        <w:t>（一）产业链完整度</w:t>
      </w:r>
    </w:p>
    <w:p>
      <w:pPr>
        <w:spacing w:lineRule="exact" w:line="600" w:after="0"/>
        <w:ind w:firstLine="420"/>
      </w:pPr>
      <w:r>
        <w:rPr>
          <w:rFonts w:ascii="仿宋_GB2312" w:hAnsi="仿宋_GB2312" w:eastAsia="仿宋_GB2312"/>
          <w:b w:val="0"/>
          <w:sz w:val="32"/>
        </w:rPr>
        <w:t>从产业链整体看，集群已经形成“核心零部件—整机与成套装备—系统集成与运维服务”的完整链条，上游涵盖精品钢、关键基础零部件，中游为整车与装备整机，下游对接智慧物流、智能运维与后服务，链条衔接较为顺畅，配套协作能力在山东省装备制造中处于较高水平，产业整体韧性较强，应对市场波动的能力明显优于单一环节型企业。可以预见，随着要素保障逐步完善，集群发展动能将得到进一步释放与增强。</w:t>
      </w:r>
    </w:p>
    <w:p>
      <w:pPr>
        <w:spacing w:lineRule="exact" w:line="600" w:after="0"/>
        <w:ind w:firstLine="420"/>
      </w:pPr>
      <w:r>
        <w:rPr>
          <w:rFonts w:ascii="仿宋_GB2312" w:hAnsi="仿宋_GB2312" w:eastAsia="仿宋_GB2312"/>
          <w:b w:val="0"/>
          <w:sz w:val="32"/>
        </w:rPr>
        <w:t>龙头企业的带动效应极为明显。山东重工、中国重汽、凯傲叉车等“链主”企业聚焦品牌研发与整车集成，中小企业则围绕关键零部件、电气系统、物流配套等环节提供专业化配套，形成错位竞争、协同共进的良性产业组织形态。山东重工绿色智造产业城带动三十多家补链项目入驻，链式协同格局日益巩固。这对优化产业组织形态、增强发展韧性具有积极的现实支撑意义与长远价值。</w:t>
      </w:r>
    </w:p>
    <w:p>
      <w:pPr>
        <w:spacing w:lineRule="exact" w:line="600" w:after="0"/>
        <w:ind w:firstLine="420"/>
      </w:pPr>
      <w:r>
        <w:rPr>
          <w:rFonts w:ascii="仿宋_GB2312" w:hAnsi="仿宋_GB2312" w:eastAsia="仿宋_GB2312"/>
          <w:b w:val="0"/>
          <w:sz w:val="32"/>
        </w:rPr>
        <w:t>需要关注的是，上游原材料与中游整机配套已经相对成熟，但下游高附加值的智能运维、系统集成与后服务环节仍处于培育期，部分中小企业仍以提供初加工与代工为主，价值外溢较为严重。产业链纵向延伸不足、价值捕获能力不强，仍是集群下一步提质升级需要重点破解的深层问题，必须下大力气向两端延展。从长远计，构建开放协同的创新生态，是破解瓶颈制约的关键着力点所在。</w:t>
      </w:r>
    </w:p>
    <w:p>
      <w:pPr>
        <w:spacing w:before="120" w:after="120" w:lineRule="exact" w:line="600"/>
      </w:pPr>
      <w:r>
        <w:rPr>
          <w:rFonts w:ascii="楷体_GB2312" w:hAnsi="楷体_GB2312" w:eastAsia="楷体_GB2312"/>
          <w:b w:val="0"/>
          <w:sz w:val="32"/>
        </w:rPr>
        <w:t>（二）产业链短板</w:t>
      </w:r>
    </w:p>
    <w:p>
      <w:pPr>
        <w:spacing w:lineRule="exact" w:line="600" w:after="0"/>
        <w:ind w:firstLine="420"/>
      </w:pPr>
      <w:r>
        <w:rPr>
          <w:rFonts w:ascii="仿宋_GB2312" w:hAnsi="仿宋_GB2312" w:eastAsia="仿宋_GB2312"/>
          <w:b w:val="0"/>
          <w:sz w:val="32"/>
        </w:rPr>
        <w:t>总体来看，集群产业链的短板主要集中在研发设计与系统集成两端，制约了整体效益提升。绝大多数中小企业研发投入有限，产品仍以传统零部件、代工为主，面向高端智能装备、核心零部件的新品供给明显不足，难以有效支撑价值链向高端环节系统性攀升，产品同质化竞争压力持续加大，亟需通过创新破解低端锁定困境。说明相关举措已初见成效，但要把成果做深做实，仍须常抓不懈、久久为功。</w:t>
      </w:r>
    </w:p>
    <w:p>
      <w:pPr>
        <w:spacing w:lineRule="exact" w:line="600" w:after="0"/>
        <w:ind w:firstLine="420"/>
      </w:pPr>
      <w:r>
        <w:rPr>
          <w:rFonts w:ascii="仿宋_GB2312" w:hAnsi="仿宋_GB2312" w:eastAsia="仿宋_GB2312"/>
          <w:b w:val="0"/>
          <w:sz w:val="32"/>
        </w:rPr>
        <w:t>本地配套率与产业韧性是另一个突出短板。尽管重汽济卡带动三十家配套企业集聚，但高端液压、电控、芯片等核心部件仍依赖外部调入，本地配套率有待提升，部分环节存在“卡脖子”风险。补齐核心零部件短板、提升本地配套水平，才是集群下一步提质增效、稳定经营主体收益的关键着力点，需要尽快付诸行动，增强产业链自主可控水平。</w:t>
      </w:r>
    </w:p>
    <w:p>
      <w:pPr>
        <w:spacing w:lineRule="exact" w:line="600" w:after="0"/>
        <w:ind w:firstLine="420"/>
      </w:pPr>
      <w:r>
        <w:rPr>
          <w:rFonts w:ascii="仿宋_GB2312" w:hAnsi="仿宋_GB2312" w:eastAsia="仿宋_GB2312"/>
          <w:b w:val="0"/>
          <w:sz w:val="32"/>
        </w:rPr>
        <w:t>从价值分配看，部分环节低效能扩产现象存在，行业内卷困局亟待破解。严格执行项目准入审查机制，推动土地、能耗、资金向高附加值、高技术赛道集中，是缓解内卷、优化产业链结构的根本路径，需要从源头强化统筹与调控，避免低效重复建设，以强链补链提升整体效能，优化产业组织形态。这对稳定经营主体预期、激发市场活力将发挥重要的牵引与保障作用。</w:t>
      </w:r>
    </w:p>
    <w:p>
      <w:pPr>
        <w:spacing w:before="120" w:after="120" w:lineRule="exact" w:line="600"/>
      </w:pPr>
      <w:r>
        <w:rPr>
          <w:rFonts w:ascii="楷体_GB2312" w:hAnsi="楷体_GB2312" w:eastAsia="楷体_GB2312"/>
          <w:b w:val="0"/>
          <w:sz w:val="32"/>
        </w:rPr>
        <w:t>（三）价值链位置</w:t>
      </w:r>
    </w:p>
    <w:p>
      <w:pPr>
        <w:spacing w:lineRule="exact" w:line="600" w:after="0"/>
        <w:ind w:firstLine="420"/>
      </w:pPr>
      <w:r>
        <w:rPr>
          <w:rFonts w:ascii="仿宋_GB2312" w:hAnsi="仿宋_GB2312" w:eastAsia="仿宋_GB2312"/>
          <w:b w:val="0"/>
          <w:sz w:val="32"/>
        </w:rPr>
        <w:t>从价值链位置看，集群当前以中游的整车制造、装备整机为主，价值捕获集中于规模化制造环节，而上游研发与下游系统集成两端的附加值大量外溢，整体仍处于价值链中段的规模竞争区间，产品溢价能力与行业话语权有待进一步增强，亟需向“微笑曲线”两端延伸布局，摆脱低端规模竞争的路径依赖，以高端环节突破提升全链价值。需以底线思维统筹发展与安全，在变化中牢牢把握集群发展的战略主动。</w:t>
      </w:r>
    </w:p>
    <w:p>
      <w:pPr>
        <w:spacing w:lineRule="exact" w:line="600" w:after="0"/>
        <w:ind w:firstLine="420"/>
      </w:pPr>
      <w:r>
        <w:rPr>
          <w:rFonts w:ascii="仿宋_GB2312" w:hAnsi="仿宋_GB2312" w:eastAsia="仿宋_GB2312"/>
          <w:b w:val="0"/>
          <w:sz w:val="32"/>
        </w:rPr>
        <w:t>中国重汽重塑自主高端重卡“黄河”品牌，推出全球首款风阻系数零点三七的全新一代高端黄河重卡，研发投入从二〇一八年十三亿元增长到二〇二一年三十七亿元，实现向世界一流水平的迈进，为集群向价值链高端攀升提供了可复制可推广的标杆路径，也印证了向高端迈进的可行性与现实收益，示范意义十分突出。这也对营商环境与公共服务提出了更高要求，须持续用力、不断优化提升。</w:t>
      </w:r>
    </w:p>
    <w:p>
      <w:pPr>
        <w:spacing w:lineRule="exact" w:line="600" w:after="0"/>
        <w:ind w:firstLine="420"/>
      </w:pPr>
      <w:r>
        <w:rPr>
          <w:rFonts w:ascii="仿宋_GB2312" w:hAnsi="仿宋_GB2312" w:eastAsia="仿宋_GB2312"/>
          <w:b w:val="0"/>
          <w:sz w:val="32"/>
        </w:rPr>
        <w:t>泰莱电气以立体卷铁心配电变压器、大容量预装式变电站打破国外垄断，入选山东省首台（套）重大技术装备；正泰电缆新能源电缆出口欧美。此类业态融合有助于集群整体向高附加值环节迁移，改善价值分配结构，提升产业发展的质量效益与可持续性，是价值链升级的有益探索，值得在集群内推广应用。总体判断，只要方向明确、举措得当，集群完全有能力迈上更高的发展能级。</w:t>
      </w:r>
    </w:p>
    <w:p>
      <w:pPr>
        <w:spacing w:before="120" w:after="120" w:lineRule="exact" w:line="600"/>
      </w:pPr>
      <w:r>
        <w:rPr>
          <w:rFonts w:ascii="楷体_GB2312" w:hAnsi="楷体_GB2312" w:eastAsia="楷体_GB2312"/>
          <w:b w:val="0"/>
          <w:sz w:val="32"/>
        </w:rPr>
        <w:t>（四）产业分工</w:t>
      </w:r>
    </w:p>
    <w:p>
      <w:pPr>
        <w:spacing w:lineRule="exact" w:line="600" w:after="0"/>
        <w:ind w:firstLine="420"/>
      </w:pPr>
      <w:r>
        <w:rPr>
          <w:rFonts w:ascii="仿宋_GB2312" w:hAnsi="仿宋_GB2312" w:eastAsia="仿宋_GB2312"/>
          <w:b w:val="0"/>
          <w:sz w:val="32"/>
        </w:rPr>
        <w:t>集群内部分工呈现出龙头引领、专业配套的清晰格局，组织化程度较高。山东重工、中国重汽、凯傲叉车等龙头企业聚焦品牌研发与整车集成，中小企业则围绕零部件、电气、物流等环节提供专业化配套，形成错位竞争、协同共进的良性产业组织形态，有效避免了内部恶性竞争，提升了整体运行效率与资源配置水平，大中小企业融通发展态势良好。</w:t>
      </w:r>
    </w:p>
    <w:p>
      <w:pPr>
        <w:spacing w:lineRule="exact" w:line="600" w:after="0"/>
        <w:ind w:firstLine="420"/>
      </w:pPr>
      <w:r>
        <w:rPr>
          <w:rFonts w:ascii="仿宋_GB2312" w:hAnsi="仿宋_GB2312" w:eastAsia="仿宋_GB2312"/>
          <w:b w:val="0"/>
          <w:sz w:val="32"/>
        </w:rPr>
        <w:t>在区域分工上，山东重工绿色智造产业城承载整车与核心部件，莱芜高新区承载智能制造与高端装备孵化，和庄镇以正泰电缆为核心形成线缆产业密集带，专业园区与产业城协同互补，共同支撑起合理的空间布局体系，促进了要素高效配置，形成了特色鲜明、优势互补的区域产业分工格局，空间集聚与专业分工相互促进。把规划蓝图变为现实成果，关键在于狠抓落实、强化督导并形成管理闭环。</w:t>
      </w:r>
    </w:p>
    <w:p>
      <w:pPr>
        <w:spacing w:lineRule="exact" w:line="600" w:after="0"/>
        <w:ind w:firstLine="420"/>
      </w:pPr>
      <w:r>
        <w:rPr>
          <w:rFonts w:ascii="仿宋_GB2312" w:hAnsi="仿宋_GB2312" w:eastAsia="仿宋_GB2312"/>
          <w:b w:val="0"/>
          <w:sz w:val="32"/>
        </w:rPr>
        <w:t>从企业规模结构看，集群以大量中小微企业为主体、龙头企业为牵引的分工生态较为稳定。二〇二四年高端装备制造领域规上企业九十四家、中小企业一百七十四家，表明骨干企业梯队日益壮大。这种大中小企业融通发展的分工格局，有利于形成协同共生的产业生态，也增强了整体抗风险能力与供应链弹性韧性，发展基础牢固。相关经验若能在集群内有序复制推广，将显著放大整体发展的协同效应。</w:t>
      </w:r>
    </w:p>
    <w:p>
      <w:pPr>
        <w:spacing w:before="240" w:after="120" w:lineRule="exact" w:line="600"/>
      </w:pPr>
      <w:r>
        <w:rPr>
          <w:rFonts w:ascii="黑体" w:hAnsi="黑体" w:eastAsia="黑体"/>
          <w:b w:val="0"/>
          <w:sz w:val="32"/>
        </w:rPr>
        <w:t>三、企业主体结构</w:t>
      </w:r>
    </w:p>
    <w:p>
      <w:pPr>
        <w:spacing w:before="120" w:after="120" w:lineRule="exact" w:line="600"/>
      </w:pPr>
      <w:r>
        <w:rPr>
          <w:rFonts w:ascii="楷体_GB2312" w:hAnsi="楷体_GB2312" w:eastAsia="楷体_GB2312"/>
          <w:b w:val="0"/>
          <w:sz w:val="32"/>
        </w:rPr>
        <w:t>（一）企业规模结构</w:t>
      </w:r>
    </w:p>
    <w:p>
      <w:pPr>
        <w:spacing w:lineRule="exact" w:line="600" w:after="0"/>
        <w:ind w:firstLine="420"/>
      </w:pPr>
      <w:r>
        <w:rPr>
          <w:rFonts w:ascii="仿宋_GB2312" w:hAnsi="仿宋_GB2312" w:eastAsia="仿宋_GB2312"/>
          <w:b w:val="0"/>
          <w:sz w:val="32"/>
        </w:rPr>
        <w:t>据公开数据，莱芜区高端装备制造产业现有中小企业一百七十四家，其中高端装备制造领域规模以上企业九十四家，构成集群的骨干力量；中小企业是吸纳就业与稳定产业链的主要载体，在集群体量中地位举足轻重。稳住了中小企业，就稳住了集群大局，中小企业活则集群活，其支撑作用不容忽视，稳住了中小企业就稳住了集群基本盘。这表明市场与政府同向发力，是提升产业能级与竞争力的有效实现路径。</w:t>
      </w:r>
    </w:p>
    <w:p>
      <w:pPr>
        <w:spacing w:lineRule="exact" w:line="600" w:after="0"/>
        <w:ind w:firstLine="420"/>
      </w:pPr>
      <w:r>
        <w:rPr>
          <w:rFonts w:ascii="仿宋_GB2312" w:hAnsi="仿宋_GB2312" w:eastAsia="仿宋_GB2312"/>
          <w:b w:val="0"/>
          <w:sz w:val="32"/>
        </w:rPr>
        <w:t>从规模梯度看，集群呈现少量龙头、大量中小微的金字塔型结构。山东重工、中国重汽等少数企业产值规模突出，正泰电缆从二〇一八年重组以来产值从两亿元增长至二十八亿元，成为拉动新能源装备产业链的龙头，转型成效显著，说明孵化载体与重组盘活对骨干企业升级具有关键催化作用与示范价值，梯度培育成效逐步显现。对中小企业而言，融入这一进程既是挑战，更是实现能级跃升的重要契机。</w:t>
      </w:r>
    </w:p>
    <w:p>
      <w:pPr>
        <w:spacing w:lineRule="exact" w:line="600" w:after="0"/>
        <w:ind w:firstLine="420"/>
      </w:pPr>
      <w:r>
        <w:rPr>
          <w:rFonts w:ascii="仿宋_GB2312" w:hAnsi="仿宋_GB2312" w:eastAsia="仿宋_GB2312"/>
          <w:b w:val="0"/>
          <w:sz w:val="32"/>
        </w:rPr>
        <w:t>值得关注的是，集群内小微企业数量众多但单体规模偏小，抗风险能力与技改能力较弱，发展质量有待提升。持续推进“小升规”与专精特新培育，优化大中小企业的规模分布结构，是稳定集群韧性、提升整体竞争力的关键抓手与必须完成的长期任务，政策需持续加力，久久为功方能见效，以梯度培育厚植集群微观活力。由此形成的良性循环，将为集群行稳致远提供坚实而持久的内在支撑。</w:t>
      </w:r>
    </w:p>
    <w:p>
      <w:pPr>
        <w:spacing w:before="120" w:after="120" w:lineRule="exact" w:line="600"/>
      </w:pPr>
      <w:r>
        <w:rPr>
          <w:rFonts w:ascii="楷体_GB2312" w:hAnsi="楷体_GB2312" w:eastAsia="楷体_GB2312"/>
          <w:b w:val="0"/>
          <w:sz w:val="32"/>
        </w:rPr>
        <w:t>（二）产权结构</w:t>
      </w:r>
    </w:p>
    <w:p>
      <w:pPr>
        <w:spacing w:lineRule="exact" w:line="600" w:after="0"/>
        <w:ind w:firstLine="420"/>
      </w:pPr>
      <w:r>
        <w:rPr>
          <w:rFonts w:ascii="仿宋_GB2312" w:hAnsi="仿宋_GB2312" w:eastAsia="仿宋_GB2312"/>
          <w:b w:val="0"/>
          <w:sz w:val="32"/>
        </w:rPr>
        <w:t>从产权结构看，集群以国有与民营资本并重，山东重工、中国重汽为国有骨干，正泰电缆、泰莱电气、鲁能开源、奔速电梯等为民营企业，市场化程度高、经营机制灵活，是集群活力与创新能力的重要来源，也是出口拓展与品牌建设的生力军，民营经济的生力军作用发挥得较为充分，是集群创新的重要策源地，市场响应速度快。上述情况表明，相关环节仍有较大提升潜力与拓展空间，需持续发力加以巩固。</w:t>
      </w:r>
    </w:p>
    <w:p>
      <w:pPr>
        <w:spacing w:lineRule="exact" w:line="600" w:after="0"/>
        <w:ind w:firstLine="420"/>
      </w:pPr>
      <w:r>
        <w:rPr>
          <w:rFonts w:ascii="仿宋_GB2312" w:hAnsi="仿宋_GB2312" w:eastAsia="仿宋_GB2312"/>
          <w:b w:val="0"/>
          <w:sz w:val="32"/>
        </w:rPr>
        <w:t>部分龙头企业经历了混合所有制或并购重组，产权结构更趋多元，有利于引入外部资本与管理资源，支撑企业规模化与国际化拓展，并提升公司治理的现代化与规范化水平。正泰电缆二〇一八年完成重组后产值快速增长，释放改革红利，激发内生动力，为其他企业完善治理结构提供了可借鉴的范例，产权优化成效逐步显现。从中可见，夯实产业基础并稳步固链强链，是稳当前、谋长远的必然选择。</w:t>
      </w:r>
    </w:p>
    <w:p>
      <w:pPr>
        <w:spacing w:lineRule="exact" w:line="600" w:after="0"/>
        <w:ind w:firstLine="420"/>
      </w:pPr>
      <w:r>
        <w:rPr>
          <w:rFonts w:ascii="仿宋_GB2312" w:hAnsi="仿宋_GB2312" w:eastAsia="仿宋_GB2312"/>
          <w:b w:val="0"/>
          <w:sz w:val="32"/>
        </w:rPr>
        <w:t>国有资本在园区基础设施、公共服务平台、重卡产业城等公共领域发挥引导作用，形成民营主体、政府平台互补型的产权格局，有效降低了中小企业进入门槛与初期投资风险，优化了整体营商环境与要素供给效率，体现了有为政府与有效市场的结合，公私协作的产权安排增强了集群发展韧性，为民营经济健康发展保驾护航，协同效应突出。由此判断，把既有优势转化为持久竞争力，仍需久久为功、持续加力。</w:t>
      </w:r>
    </w:p>
    <w:p>
      <w:pPr>
        <w:spacing w:before="120" w:after="120" w:lineRule="exact" w:line="600"/>
      </w:pPr>
      <w:r>
        <w:rPr>
          <w:rFonts w:ascii="楷体_GB2312" w:hAnsi="楷体_GB2312" w:eastAsia="楷体_GB2312"/>
          <w:b w:val="0"/>
          <w:sz w:val="32"/>
        </w:rPr>
        <w:t>（三）头部企业</w:t>
      </w:r>
    </w:p>
    <w:p>
      <w:pPr>
        <w:spacing w:lineRule="exact" w:line="600" w:after="0"/>
        <w:ind w:firstLine="420"/>
      </w:pPr>
      <w:r>
        <w:rPr>
          <w:rFonts w:ascii="仿宋_GB2312" w:hAnsi="仿宋_GB2312" w:eastAsia="仿宋_GB2312"/>
          <w:b w:val="0"/>
          <w:sz w:val="32"/>
        </w:rPr>
        <w:t>中国重汽集团济南卡车股份有限公司是集群的绝对龙头，一九六〇年制造中国第一辆重型卡车“黄河JN150”，二〇二〇年投建智能网联（新能源）重卡项目，产量规模突破十万辆，是集群国际化与品质建设的标杆企业，带动效应突出，在出口资质与质量体系上发挥了关键的示范带动作用，龙头地位稳固，引领重卡产业升级。总体看，这一态势有利于集群提质增效，但短板亦不容忽视，须统筹施策。</w:t>
      </w:r>
    </w:p>
    <w:p>
      <w:pPr>
        <w:spacing w:lineRule="exact" w:line="600" w:after="0"/>
        <w:ind w:firstLine="420"/>
      </w:pPr>
      <w:r>
        <w:rPr>
          <w:rFonts w:ascii="仿宋_GB2312" w:hAnsi="仿宋_GB2312" w:eastAsia="仿宋_GB2312"/>
          <w:b w:val="0"/>
          <w:sz w:val="32"/>
        </w:rPr>
        <w:t>凯傲叉车以智能叉车为核心，与山东重工协同构建“整车+零部件+物流”链条；正泰电缆为济南唯一具备一百一十千伏及以上超高压电缆生产能力的企业，产值从两亿增至二十八亿元，新能源电缆出口欧美；泰莱电气为国家级专精特新“小巨人”，智能变配电装备基地年产能八千台套、产值二十亿元，头部矩阵日益壮大，支撑有力。展望未来，在政策与市场共同作用下，相关领域有望迎来更高质量的发展。</w:t>
      </w:r>
    </w:p>
    <w:p>
      <w:pPr>
        <w:spacing w:lineRule="exact" w:line="600" w:after="0"/>
        <w:ind w:firstLine="420"/>
      </w:pPr>
      <w:r>
        <w:rPr>
          <w:rFonts w:ascii="仿宋_GB2312" w:hAnsi="仿宋_GB2312" w:eastAsia="仿宋_GB2312"/>
          <w:b w:val="0"/>
          <w:sz w:val="32"/>
        </w:rPr>
        <w:t>泰钢集团连续十六年位列中国企业五百强，其生产的四百系不锈钢占全国市场份额百分之二十五；鲁能开源集团电器拥有四十余人研发团队、累计专利九十三项；奔速电梯、豪驰新能源等共同构成多层次、多赛道的头部企业梯队。多家头部企业共同形成龙头引领、多点支撑的企业格局，头部矩阵日益壮大，与重汽、凯傲一起构筑坚实底座。应当看到，机遇与挑战并存，唯有主动作为方能巩固并扩大既有领先优势。</w:t>
      </w:r>
    </w:p>
    <w:p>
      <w:pPr>
        <w:spacing w:before="120" w:after="120" w:lineRule="exact" w:line="600"/>
      </w:pPr>
      <w:r>
        <w:rPr>
          <w:rFonts w:ascii="楷体_GB2312" w:hAnsi="楷体_GB2312" w:eastAsia="楷体_GB2312"/>
          <w:b w:val="0"/>
          <w:sz w:val="32"/>
        </w:rPr>
        <w:t>（四）企业集聚特征</w:t>
      </w:r>
    </w:p>
    <w:p>
      <w:pPr>
        <w:spacing w:lineRule="exact" w:line="600" w:after="0"/>
        <w:ind w:firstLine="420"/>
      </w:pPr>
      <w:r>
        <w:rPr>
          <w:rFonts w:ascii="仿宋_GB2312" w:hAnsi="仿宋_GB2312" w:eastAsia="仿宋_GB2312"/>
          <w:b w:val="0"/>
          <w:sz w:val="32"/>
        </w:rPr>
        <w:t>集群企业沿产业链在区域内高度集聚，山东重工绿色智造产业城形成整车与核心部件密集带，莱芜高新区提供标准化孵化载体，和庄镇以正泰电缆为核心集聚三十三家上下游配套企业，企业空间集聚度较高，便于供应链就近配套、物流协同与要素共享，显著降低了制度与交易成本，提升了整体运行效率，集聚经济效应逐步显现。实践说明，依托龙头带动与协同配套，可有效提升整体运行效率与抗风险韧性。</w:t>
      </w:r>
    </w:p>
    <w:p>
      <w:pPr>
        <w:spacing w:lineRule="exact" w:line="600" w:after="0"/>
        <w:ind w:firstLine="420"/>
      </w:pPr>
      <w:r>
        <w:rPr>
          <w:rFonts w:ascii="仿宋_GB2312" w:hAnsi="仿宋_GB2312" w:eastAsia="仿宋_GB2312"/>
          <w:b w:val="0"/>
          <w:sz w:val="32"/>
        </w:rPr>
        <w:t>集聚呈现产业城、专业镇双重特征：产业城承载整车与核心部件，高新区与专业镇承载成长型与配套型企业，二者通过供应链紧密联动，形成“前店后厂”式的协作网络，显著提升了资源配置效率与产业组织化程度，协同效应明显，区域品牌逐步形成，专业化分工与空间集聚相互促进，集群化发展水平稳步提高，协同效应突出。需要强调的是，相关工作的系统性与协同性，直接关系集群升级的成败。</w:t>
      </w:r>
    </w:p>
    <w:p>
      <w:pPr>
        <w:spacing w:lineRule="exact" w:line="600" w:after="0"/>
        <w:ind w:firstLine="420"/>
      </w:pPr>
      <w:r>
        <w:rPr>
          <w:rFonts w:ascii="仿宋_GB2312" w:hAnsi="仿宋_GB2312" w:eastAsia="仿宋_GB2312"/>
          <w:b w:val="0"/>
          <w:sz w:val="32"/>
        </w:rPr>
        <w:t>需要重点关注集聚带来的能耗与环保压力，生态环境约束趋紧。钢铁与装备制造废弃物处理依赖集中治污与循环利用，泰钢集团“基于二氧化碳资源化利用的绿色洁净炼钢技术及应用”荣获国家科技进步奖二等奖，为同行提供了可借鉴的绿色制造范式，值得在集群内全面推广，以绿色集聚夯实可持续发展根基，实现集聚与生态双赢。综合研判，集群已具备一定基础，下一步须在补链延链上取得实质性突破。</w:t>
      </w:r>
    </w:p>
    <w:p>
      <w:pPr>
        <w:spacing w:before="240" w:after="120" w:lineRule="exact" w:line="600"/>
      </w:pPr>
      <w:r>
        <w:rPr>
          <w:rFonts w:ascii="黑体" w:hAnsi="黑体" w:eastAsia="黑体"/>
          <w:b w:val="0"/>
          <w:sz w:val="32"/>
        </w:rPr>
        <w:t>四、创新能力</w:t>
      </w:r>
    </w:p>
    <w:p>
      <w:pPr>
        <w:spacing w:before="120" w:after="120" w:lineRule="exact" w:line="600"/>
      </w:pPr>
      <w:r>
        <w:rPr>
          <w:rFonts w:ascii="楷体_GB2312" w:hAnsi="楷体_GB2312" w:eastAsia="楷体_GB2312"/>
          <w:b w:val="0"/>
          <w:sz w:val="32"/>
        </w:rPr>
        <w:t>（一）研发投入</w:t>
      </w:r>
    </w:p>
    <w:p>
      <w:pPr>
        <w:spacing w:lineRule="exact" w:line="600" w:after="0"/>
        <w:ind w:firstLine="420"/>
      </w:pPr>
      <w:r>
        <w:rPr>
          <w:rFonts w:ascii="仿宋_GB2312" w:hAnsi="仿宋_GB2312" w:eastAsia="仿宋_GB2312"/>
          <w:b w:val="0"/>
          <w:sz w:val="32"/>
        </w:rPr>
        <w:t>总体来看，集群研发投入呈现龙头强、中小弱的格局，创新资源配置不够均衡。中国重汽研发投入从二〇一八年十三亿元增长到二〇二一年三十七亿元，研发人员从一千一百零二人增长到三千五百六十一人，是研发活动的引领者，带动了全行业技术创新与自主研发能力的系统性提升，起到了研发示范的关键作用，其经验可向配套企业输出。可以预见，随着要素保障逐步完善，集群发展动能将得到进一步释放与增强。</w:t>
      </w:r>
    </w:p>
    <w:p>
      <w:pPr>
        <w:spacing w:lineRule="exact" w:line="600" w:after="0"/>
        <w:ind w:firstLine="420"/>
      </w:pPr>
      <w:r>
        <w:rPr>
          <w:rFonts w:ascii="仿宋_GB2312" w:hAnsi="仿宋_GB2312" w:eastAsia="仿宋_GB2312"/>
          <w:b w:val="0"/>
          <w:sz w:val="32"/>
        </w:rPr>
        <w:t>龙头企业正将研发投向智能网联、新能源与高端材料方向，高度契合高端装备集群定位。泰莱电气投入上千万元研发环保型阻水中压电缆，正泰电缆组建七十二人研发团队，研发导向日益清晰且更具市场针对性，研发投入的产出效率逐步改善，研发与市场的衔接更加紧密，创新目标更加明确，产出效率稳步改善。这对优化产业组织形态、增强发展韧性具有积极的现实支撑意义与长远价值。</w:t>
      </w:r>
    </w:p>
    <w:p>
      <w:pPr>
        <w:spacing w:lineRule="exact" w:line="600" w:after="0"/>
        <w:ind w:firstLine="420"/>
      </w:pPr>
      <w:r>
        <w:rPr>
          <w:rFonts w:ascii="仿宋_GB2312" w:hAnsi="仿宋_GB2312" w:eastAsia="仿宋_GB2312"/>
          <w:b w:val="0"/>
          <w:sz w:val="32"/>
        </w:rPr>
        <w:t>中小企业受规模约束，研发投入普遍偏低，多数以工艺改良与设备更新为主，原始创新能力薄弱。政府通过优质企业攀登倍增行动、研发补助等机制推送惠企政策，助力企业减轻负担、腾出技改资金，间接提升了创新投入能力，但力度仍需加大，以弥补中小企业创新短板，缩小与龙头企业的能力差距，促进协同共进。从长远计，构建开放协同的创新生态，是破解瓶颈制约的关键着力点所在。</w:t>
      </w:r>
    </w:p>
    <w:p>
      <w:pPr>
        <w:spacing w:before="120" w:after="120" w:lineRule="exact" w:line="600"/>
      </w:pPr>
      <w:r>
        <w:rPr>
          <w:rFonts w:ascii="楷体_GB2312" w:hAnsi="楷体_GB2312" w:eastAsia="楷体_GB2312"/>
          <w:b w:val="0"/>
          <w:sz w:val="32"/>
        </w:rPr>
        <w:t>（二）创新产出</w:t>
      </w:r>
    </w:p>
    <w:p>
      <w:pPr>
        <w:spacing w:lineRule="exact" w:line="600" w:after="0"/>
        <w:ind w:firstLine="420"/>
      </w:pPr>
      <w:r>
        <w:rPr>
          <w:rFonts w:ascii="仿宋_GB2312" w:hAnsi="仿宋_GB2312" w:eastAsia="仿宋_GB2312"/>
          <w:b w:val="0"/>
          <w:sz w:val="32"/>
        </w:rPr>
        <w:t>创新产出方面，集群在整车、电力装备与绿色冶金领域成果突出，转型成效可圈可点。中国重汽推出全球首款风阻系数零点三七的高端黄河重卡，研发国内第一辆具有完全自主知识产权的氢燃料电池发动机“黄河”牌雪蜡车，形成难以复制的差异化竞争优势，市场认可度不断提高，创新红利持续释放，质量管控达到国际先进水平。说明相关举措已初见成效，但要把成果做深做实，仍须常抓不懈、久久为功。</w:t>
      </w:r>
    </w:p>
    <w:p>
      <w:pPr>
        <w:spacing w:lineRule="exact" w:line="600" w:after="0"/>
        <w:ind w:firstLine="420"/>
      </w:pPr>
      <w:r>
        <w:rPr>
          <w:rFonts w:ascii="仿宋_GB2312" w:hAnsi="仿宋_GB2312" w:eastAsia="仿宋_GB2312"/>
          <w:b w:val="0"/>
          <w:sz w:val="32"/>
        </w:rPr>
        <w:t>产品创新上，泰莱电气立体卷铁心配电变压器比国内外同类产品节电百分之十以上、大容量预装式变电站打破国外垄断并入选省首台（套）；正泰电缆环保型阻水中压电缆出口欧美；泰钢绿色洁净炼钢技术获国家科技进步奖二等奖。体现出集群从传统装备向智能化、绿色化产品迭代的创新能力，产品矩阵不断向高附加值方向优化升级。由此进一步印证，特色化、差异化的发展路径符合集群实际与自身比较优势。</w:t>
      </w:r>
    </w:p>
    <w:p>
      <w:pPr>
        <w:spacing w:lineRule="exact" w:line="600" w:after="0"/>
        <w:ind w:firstLine="420"/>
      </w:pPr>
      <w:r>
        <w:rPr>
          <w:rFonts w:ascii="仿宋_GB2312" w:hAnsi="仿宋_GB2312" w:eastAsia="仿宋_GB2312"/>
          <w:b w:val="0"/>
          <w:sz w:val="32"/>
        </w:rPr>
        <w:t>数字创新方面，莱芜高新区累计培育国家高新技术企业二百四十二家、国家级专精特新“小巨人”十四家，两化融合贯标企业六十九家，全区主导产业数控化率达百分之九十以上，泰禾生化等五家企业被认定为全省先进级智能工厂。一批“制造精品”陆续面世，体现出集群从传统制造向数字化、智能化转型的创新活力，创新供给能力稳步增强。</w:t>
      </w:r>
    </w:p>
    <w:p>
      <w:pPr>
        <w:spacing w:before="120" w:after="120" w:lineRule="exact" w:line="600"/>
      </w:pPr>
      <w:r>
        <w:rPr>
          <w:rFonts w:ascii="楷体_GB2312" w:hAnsi="楷体_GB2312" w:eastAsia="楷体_GB2312"/>
          <w:b w:val="0"/>
          <w:sz w:val="32"/>
        </w:rPr>
        <w:t>（三）创新平台</w:t>
      </w:r>
    </w:p>
    <w:p>
      <w:pPr>
        <w:spacing w:lineRule="exact" w:line="600" w:after="0"/>
        <w:ind w:firstLine="420"/>
      </w:pPr>
      <w:r>
        <w:rPr>
          <w:rFonts w:ascii="仿宋_GB2312" w:hAnsi="仿宋_GB2312" w:eastAsia="仿宋_GB2312"/>
          <w:b w:val="0"/>
          <w:sz w:val="32"/>
        </w:rPr>
        <w:t>集群公共创新平台以企业自建与高新区孵化为主，公共属性逐步增强。莱芜高新区依托高创中心国家级孵化器，建立“创业苗圃—孵化器—加速器—专业园”全过程培育体系；认定市级以上重点实验室、新型研发机构、院士工作站三十一家，公共创新供给不断优化，企业获得感逐步增强，公共平台在降低中小企业创新门槛上开始发挥积极作用，公共创新供给逐步健全。</w:t>
      </w:r>
    </w:p>
    <w:p>
      <w:pPr>
        <w:spacing w:lineRule="exact" w:line="600" w:after="0"/>
        <w:ind w:firstLine="420"/>
      </w:pPr>
      <w:r>
        <w:rPr>
          <w:rFonts w:ascii="仿宋_GB2312" w:hAnsi="仿宋_GB2312" w:eastAsia="仿宋_GB2312"/>
          <w:b w:val="0"/>
          <w:sz w:val="32"/>
        </w:rPr>
        <w:t>政府层面构建多层次创新平台体系，莱芜高新区获批国家级“绿色工业园区”，建成全省首批市域产教联合体；山东重工绿色智造产业城集聚研发与中试资源。高能级平台显著提升城市服务功能，奠定区域创新策源地地位，公共服务能级持续跃升，创新生态日趋完善，平台支撑作用持续增强，创新策源能力稳步提升。这也对营商环境与公共服务提出了更高要求，须持续用力、不断优化提升。</w:t>
      </w:r>
    </w:p>
    <w:p>
      <w:pPr>
        <w:spacing w:lineRule="exact" w:line="600" w:after="0"/>
        <w:ind w:firstLine="420"/>
      </w:pPr>
      <w:r>
        <w:rPr>
          <w:rFonts w:ascii="仿宋_GB2312" w:hAnsi="仿宋_GB2312" w:eastAsia="仿宋_GB2312"/>
          <w:b w:val="0"/>
          <w:sz w:val="32"/>
        </w:rPr>
        <w:t>从平台层级看，集群虽拥有较多创新主体，但面向中小企业的公共中试与检测载体仍待补强，创新资源以龙头企业闭环为主，外部协同与成果转化的公共平台有待加强。目前国家级单项冠军企业三家、省“瞪羚企业”四十家，创新平台能级仍需进一步提升，以更好服务广大中小企业，补齐平台普惠短板，强化公共创新支撑。总体判断，只要方向明确、举措得当，集群完全有能力迈上更高的发展能级。</w:t>
      </w:r>
    </w:p>
    <w:p>
      <w:pPr>
        <w:spacing w:before="120" w:after="120" w:lineRule="exact" w:line="600"/>
      </w:pPr>
      <w:r>
        <w:rPr>
          <w:rFonts w:ascii="楷体_GB2312" w:hAnsi="楷体_GB2312" w:eastAsia="楷体_GB2312"/>
          <w:b w:val="0"/>
          <w:sz w:val="32"/>
        </w:rPr>
        <w:t>（四）技术转化</w:t>
      </w:r>
    </w:p>
    <w:p>
      <w:pPr>
        <w:spacing w:lineRule="exact" w:line="600" w:after="0"/>
        <w:ind w:firstLine="420"/>
      </w:pPr>
      <w:r>
        <w:rPr>
          <w:rFonts w:ascii="仿宋_GB2312" w:hAnsi="仿宋_GB2312" w:eastAsia="仿宋_GB2312"/>
          <w:b w:val="0"/>
          <w:sz w:val="32"/>
        </w:rPr>
        <w:t>技术转化方面，龙头企业示范效应明显，转化路径清晰。中国重汽将氢燃料电池、智能网联技术转化为重卡产品，直接服务港口等多场景，技术红利转化路径清晰、见效快，发挥了良好的辐射带动与标杆引领作用，带动配套企业同步提升质量管理与技术应用水平，转化成效实实在在，示范价值突出，应用落地迅速。此类探索为同类地区提供了可借鉴经验，其示范价值值得充分肯定与推广。</w:t>
      </w:r>
    </w:p>
    <w:p>
      <w:pPr>
        <w:spacing w:lineRule="exact" w:line="600" w:after="0"/>
        <w:ind w:firstLine="420"/>
      </w:pPr>
      <w:r>
        <w:rPr>
          <w:rFonts w:ascii="仿宋_GB2312" w:hAnsi="仿宋_GB2312" w:eastAsia="仿宋_GB2312"/>
          <w:b w:val="0"/>
          <w:sz w:val="32"/>
        </w:rPr>
        <w:t>政府围绕龙头企业补链延链，精准破解融资与人才难题，营造公平有序市场环境，推动“公司+基地+农户”及产学研合作模式，使先进技术通过供应链向配套企业外溢，扩大了技术转化的覆盖面与受益群体，普惠性强，技术扩散的乘数效应逐步显现，先进技术加快向产业链上下游渗透，转化通道逐步畅通，协同效应凸显。把规划蓝图变为现实成果，关键在于狠抓落实、强化督导并形成管理闭环。</w:t>
      </w:r>
    </w:p>
    <w:p>
      <w:pPr>
        <w:spacing w:lineRule="exact" w:line="600" w:after="0"/>
        <w:ind w:firstLine="420"/>
      </w:pPr>
      <w:r>
        <w:rPr>
          <w:rFonts w:ascii="仿宋_GB2312" w:hAnsi="仿宋_GB2312" w:eastAsia="仿宋_GB2312"/>
          <w:b w:val="0"/>
          <w:sz w:val="32"/>
        </w:rPr>
        <w:t>需要关注的是，中小企业技术获取渠道有限，转化能力偏弱，创新孤岛现象存在。强化产学研合作、建设公共中试与检测平台，将有利于提升集群整体技术转化效率与成果落地率，缩小企业之间的能力差距，促进协同共进，让创新成果更快转化为现实生产力，畅通从实验室到车间的转化通道，提升落地率与转化效率。相关经验若能在集群内有序复制推广，将显著放大整体发展的协同效应。</w:t>
      </w:r>
    </w:p>
    <w:p>
      <w:pPr>
        <w:spacing w:before="240" w:after="120" w:lineRule="exact" w:line="600"/>
      </w:pPr>
      <w:r>
        <w:rPr>
          <w:rFonts w:ascii="黑体" w:hAnsi="黑体" w:eastAsia="黑体"/>
          <w:b w:val="0"/>
          <w:sz w:val="32"/>
        </w:rPr>
        <w:t>五、生产要素禀赋</w:t>
      </w:r>
    </w:p>
    <w:p>
      <w:pPr>
        <w:spacing w:before="120" w:after="120" w:lineRule="exact" w:line="600"/>
      </w:pPr>
      <w:r>
        <w:rPr>
          <w:rFonts w:ascii="楷体_GB2312" w:hAnsi="楷体_GB2312" w:eastAsia="楷体_GB2312"/>
          <w:b w:val="0"/>
          <w:sz w:val="32"/>
        </w:rPr>
        <w:t>（一）劳动力</w:t>
      </w:r>
    </w:p>
    <w:p>
      <w:pPr>
        <w:spacing w:lineRule="exact" w:line="600" w:after="0"/>
        <w:ind w:firstLine="420"/>
      </w:pPr>
      <w:r>
        <w:rPr>
          <w:rFonts w:ascii="仿宋_GB2312" w:hAnsi="仿宋_GB2312" w:eastAsia="仿宋_GB2312"/>
          <w:b w:val="0"/>
          <w:sz w:val="32"/>
        </w:rPr>
        <w:t>集群用工以本地产业工人为主，整车装配、零部件加工等环节吸纳大量县域就业，是稳就业的重要载体，社会效益显著。山东重工绿色智造产业城创造大量优质就业岗位，龙头企业带动上下游用工规模可观，社会效益突出，联农带农作用明显，为农民增收作出重要贡献，就业吸纳能力在区域产业中名列前茅，民生支撑作用强。这表明市场与政府同向发力，是提升产业能级与竞争力的有效实现路径。</w:t>
      </w:r>
    </w:p>
    <w:p>
      <w:pPr>
        <w:spacing w:lineRule="exact" w:line="600" w:after="0"/>
        <w:ind w:firstLine="420"/>
      </w:pPr>
      <w:r>
        <w:rPr>
          <w:rFonts w:ascii="仿宋_GB2312" w:hAnsi="仿宋_GB2312" w:eastAsia="仿宋_GB2312"/>
          <w:b w:val="0"/>
          <w:sz w:val="32"/>
        </w:rPr>
        <w:t>技能结构方面，产线操作、装配等岗位以熟练工为主，研发、品控、智能网联等岗位对专业技能要求较高，存在结构性错配。政府通过人才新政“双三十条”、技能培训等机制缓解结构性用工矛盾，提升了劳动力素质，促进了更高质量就业，但高技能人才供给仍显不足，技能短板需补齐，人才需求结构正在重塑，引才力度持续加大。对中小企业而言，融入这一进程既是挑战，更是实现能级跃升的重要契机。</w:t>
      </w:r>
    </w:p>
    <w:p>
      <w:pPr>
        <w:spacing w:lineRule="exact" w:line="600" w:after="0"/>
        <w:ind w:firstLine="420"/>
      </w:pPr>
      <w:r>
        <w:rPr>
          <w:rFonts w:ascii="仿宋_GB2312" w:hAnsi="仿宋_GB2312" w:eastAsia="仿宋_GB2312"/>
          <w:b w:val="0"/>
          <w:sz w:val="32"/>
        </w:rPr>
        <w:t>随着自动化与智能化产线普及，集群对高技能运维与数字化人才需求上升。莱芜区近年来累计引进各类高层次人才五十九人、青年人才一点四万名，但高端装备研发与品牌运营人才仍显不足，需持续引进培育与保留，方能支撑转型，人才短板亟待补齐，应纳入集群发展的优先议程，以人才动能支撑产业升级，缓解结构性矛盾。由此形成的良性循环，将为集群行稳致远提供坚实而持久的内在支撑。</w:t>
      </w:r>
    </w:p>
    <w:p>
      <w:pPr>
        <w:spacing w:before="120" w:after="120" w:lineRule="exact" w:line="600"/>
      </w:pPr>
      <w:r>
        <w:rPr>
          <w:rFonts w:ascii="楷体_GB2312" w:hAnsi="楷体_GB2312" w:eastAsia="楷体_GB2312"/>
          <w:b w:val="0"/>
          <w:sz w:val="32"/>
        </w:rPr>
        <w:t>（二）资本要素</w:t>
      </w:r>
    </w:p>
    <w:p>
      <w:pPr>
        <w:spacing w:lineRule="exact" w:line="600" w:after="0"/>
        <w:ind w:firstLine="420"/>
      </w:pPr>
      <w:r>
        <w:rPr>
          <w:rFonts w:ascii="仿宋_GB2312" w:hAnsi="仿宋_GB2312" w:eastAsia="仿宋_GB2312"/>
          <w:b w:val="0"/>
          <w:sz w:val="32"/>
        </w:rPr>
        <w:t>资本供给方面，莱芜区坚持“要素跟着项目走”，三年来累计争取上级各类资金二十七点四亿元、争取设备更新再贷款额度三十九点三亿元，完成供地三千一百亩，有效激活了市场主体，金融活水对实体产业的支持作用得到有效发挥，资本供给体系更趋完善。山东重工绿色智造产业城投资一千五百三十五亿元，资本密集特征鲜明，撬动效应突出。</w:t>
      </w:r>
    </w:p>
    <w:p>
      <w:pPr>
        <w:spacing w:lineRule="exact" w:line="600" w:after="0"/>
        <w:ind w:firstLine="420"/>
      </w:pPr>
      <w:r>
        <w:rPr>
          <w:rFonts w:ascii="仿宋_GB2312" w:hAnsi="仿宋_GB2312" w:eastAsia="仿宋_GB2312"/>
          <w:b w:val="0"/>
          <w:sz w:val="32"/>
        </w:rPr>
        <w:t>龙头企业融资能力强，通过资本市场与并购重组引入资本；中小企业主要依赖普惠金融与信贷贴息，融资渠道相对单一。政府优先保障带动就业多的企业在项目申报、信贷贴息、用地指标上的合理需求，政策导向鲜明、靶向精准，但中小企业直接融资比重仍待提高，融资结构需优化，资本效率有待进一步提升，需拓宽直接融资渠道。从中可见，夯实产业基础并稳步固链强链，是稳当前、谋长远的必然选择。</w:t>
      </w:r>
    </w:p>
    <w:p>
      <w:pPr>
        <w:spacing w:lineRule="exact" w:line="600" w:after="0"/>
        <w:ind w:firstLine="420"/>
      </w:pPr>
      <w:r>
        <w:rPr>
          <w:rFonts w:ascii="仿宋_GB2312" w:hAnsi="仿宋_GB2312" w:eastAsia="仿宋_GB2312"/>
          <w:b w:val="0"/>
          <w:sz w:val="32"/>
        </w:rPr>
        <w:t>从资本效率看，山东重工绿色智造产业城、泰莱电气智能变配电基地等重大项目投资强度大，需持续引入产业基金与社会资本。健全主体分类、阶段适配的资金支持体系，是提升资本配置效率、撬动社会投资的关键所在，也是稳链强链的基础，须久久为功构建多层次可持续的产业集群投融资体系，以资本要素激活产业潜能，壮大耐心资本。由此判断，把既有优势转化为持久竞争力，仍需久久为功、持续加力。</w:t>
      </w:r>
    </w:p>
    <w:p>
      <w:pPr>
        <w:spacing w:before="120" w:after="120" w:lineRule="exact" w:line="600"/>
      </w:pPr>
      <w:r>
        <w:rPr>
          <w:rFonts w:ascii="楷体_GB2312" w:hAnsi="楷体_GB2312" w:eastAsia="楷体_GB2312"/>
          <w:b w:val="0"/>
          <w:sz w:val="32"/>
        </w:rPr>
        <w:t>（三）土地能耗</w:t>
      </w:r>
    </w:p>
    <w:p>
      <w:pPr>
        <w:spacing w:lineRule="exact" w:line="600" w:after="0"/>
        <w:ind w:firstLine="420"/>
      </w:pPr>
      <w:r>
        <w:rPr>
          <w:rFonts w:ascii="仿宋_GB2312" w:hAnsi="仿宋_GB2312" w:eastAsia="仿宋_GB2312"/>
          <w:b w:val="0"/>
          <w:sz w:val="32"/>
        </w:rPr>
        <w:t>土地要素上，集群以山东重工绿色智造产业城、莱芜高新区为载体，规划三十余平方公里，为整车与核心部件预留了充足空间，载体保障有力。但部分中小企业受用地指标约束，扩张与技改空间仍显受限，需要盘活存量、优化增量配置，提高土地利用集约化水平，以更少土地承载更高质量的发展，土地集约利用水平有待提升，应推进园区集聚与标准厂房供给。</w:t>
      </w:r>
    </w:p>
    <w:p>
      <w:pPr>
        <w:spacing w:lineRule="exact" w:line="600" w:after="0"/>
        <w:ind w:firstLine="420"/>
      </w:pPr>
      <w:r>
        <w:rPr>
          <w:rFonts w:ascii="仿宋_GB2312" w:hAnsi="仿宋_GB2312" w:eastAsia="仿宋_GB2312"/>
          <w:b w:val="0"/>
          <w:sz w:val="32"/>
        </w:rPr>
        <w:t>能耗方面，钢铁与装备制造属中等能耗行业，节能降碳任务不轻。莱芜区二〇二四年单位GDP能耗较二〇二〇年下降百分之十九点六，新能源装机容量突破八十万千瓦，累计培育市级以上绿色工厂三十五家，绿色低碳成效显著，经验值得推广，引领低碳转型，带动更多企业走绿色发展之路，节能降碳成效可圈可点，绿色制造水平稳步提升。展望未来，在政策与市场共同作用下，相关领域有望迎来更高质量的发展。</w:t>
      </w:r>
    </w:p>
    <w:p>
      <w:pPr>
        <w:spacing w:lineRule="exact" w:line="600" w:after="0"/>
        <w:ind w:firstLine="420"/>
      </w:pPr>
      <w:r>
        <w:rPr>
          <w:rFonts w:ascii="仿宋_GB2312" w:hAnsi="仿宋_GB2312" w:eastAsia="仿宋_GB2312"/>
          <w:b w:val="0"/>
          <w:sz w:val="32"/>
        </w:rPr>
        <w:t>需要重点关注钢铁与装备制造环节能耗及排放指标，环保约束持续收紧。集群通过绿色洁净炼钢、分布式能源、智能工厂降低环境影响，但产能持续扩张对能耗与排放指标形成压力，绿色化改造必须持续推进、久久为功，守住生态底线，实现产业发展与环境保护双赢，以绿色约束倒逼转型，走出绿色低碳发展新路子，实现低碳发展。应当看到，机遇与挑战并存，唯有主动作为方能巩固并扩大既有领先优势。</w:t>
      </w:r>
    </w:p>
    <w:p>
      <w:pPr>
        <w:spacing w:before="120" w:after="120" w:lineRule="exact" w:line="600"/>
      </w:pPr>
      <w:r>
        <w:rPr>
          <w:rFonts w:ascii="楷体_GB2312" w:hAnsi="楷体_GB2312" w:eastAsia="楷体_GB2312"/>
          <w:b w:val="0"/>
          <w:sz w:val="32"/>
        </w:rPr>
        <w:t>（四）原材料资源</w:t>
      </w:r>
    </w:p>
    <w:p>
      <w:pPr>
        <w:spacing w:lineRule="exact" w:line="600" w:after="0"/>
        <w:ind w:firstLine="420"/>
      </w:pPr>
      <w:r>
        <w:rPr>
          <w:rFonts w:ascii="仿宋_GB2312" w:hAnsi="仿宋_GB2312" w:eastAsia="仿宋_GB2312"/>
          <w:b w:val="0"/>
          <w:sz w:val="32"/>
        </w:rPr>
        <w:t>原料端以精品钢与先进材料为主，莱芜依托泰钢集团四百系不锈钢（占全国百分之二十五）等本地钢铁产能，为装备制造提供坚实材料基础，本地配套基础扎实。但高端特种钢、关键合金仍部分依赖外部调入，原料结构存在一定外部依赖，需引起重视，增强自主可控能力，降低外部市场波动对成本端的冲击，原料安全保障需强化，供应链韧性有待增强。</w:t>
      </w:r>
    </w:p>
    <w:p>
      <w:pPr>
        <w:spacing w:lineRule="exact" w:line="600" w:after="0"/>
        <w:ind w:firstLine="420"/>
      </w:pPr>
      <w:r>
        <w:rPr>
          <w:rFonts w:ascii="仿宋_GB2312" w:hAnsi="仿宋_GB2312" w:eastAsia="仿宋_GB2312"/>
          <w:b w:val="0"/>
          <w:sz w:val="32"/>
        </w:rPr>
        <w:t>政策层面，莱芜区扶持高强钢、军工钢、医用钢、车用钢、海洋用钢等高附加值产品，推动“钢铁+汽车”“钢铁+医药”链际融合，丰富高端装备的材料谱系，增强本地特色材料的附加值与产业黏性，延伸了价值链前端，提升了原料端竞争力，为集群向高端攀升提供了更丰富的资源支撑，原料端创新持续推进，产品附加值稳步提升。需要强调的是，相关工作的系统性与协同性，直接关系集群升级的成败。</w:t>
      </w:r>
    </w:p>
    <w:p>
      <w:pPr>
        <w:spacing w:lineRule="exact" w:line="600" w:after="0"/>
        <w:ind w:firstLine="420"/>
      </w:pPr>
      <w:r>
        <w:rPr>
          <w:rFonts w:ascii="仿宋_GB2312" w:hAnsi="仿宋_GB2312" w:eastAsia="仿宋_GB2312"/>
          <w:b w:val="0"/>
          <w:sz w:val="32"/>
        </w:rPr>
        <w:t>从资源保障看，本地钢铁产能支撑力强，但高端功能性材料与核心电子部件仍依赖外部市场，供应链韧性有待增强。增强原料基地合作与供应链韧性，布局多元化采购与本地配套，是稳定集群成本与品质、抵御价格波动的重要基础性工作，须常抓不懈，筑牢安全底线，保障产业链供应链稳定运行，以韧性供应链支撑稳健发展，提升自主可控水平。</w:t>
      </w:r>
    </w:p>
    <w:p>
      <w:pPr>
        <w:spacing w:before="240" w:after="120" w:lineRule="exact" w:line="600"/>
      </w:pPr>
      <w:r>
        <w:rPr>
          <w:rFonts w:ascii="黑体" w:hAnsi="黑体" w:eastAsia="黑体"/>
          <w:b w:val="0"/>
          <w:sz w:val="32"/>
        </w:rPr>
        <w:t>六、市场与外向度</w:t>
      </w:r>
    </w:p>
    <w:p>
      <w:pPr>
        <w:spacing w:before="120" w:after="120" w:lineRule="exact" w:line="600"/>
      </w:pPr>
      <w:r>
        <w:rPr>
          <w:rFonts w:ascii="楷体_GB2312" w:hAnsi="楷体_GB2312" w:eastAsia="楷体_GB2312"/>
          <w:b w:val="0"/>
          <w:sz w:val="32"/>
        </w:rPr>
        <w:t>（一）国内市场</w:t>
      </w:r>
    </w:p>
    <w:p>
      <w:pPr>
        <w:spacing w:lineRule="exact" w:line="600" w:after="0"/>
        <w:ind w:firstLine="420"/>
      </w:pPr>
      <w:r>
        <w:rPr>
          <w:rFonts w:ascii="仿宋_GB2312" w:hAnsi="仿宋_GB2312" w:eastAsia="仿宋_GB2312"/>
          <w:b w:val="0"/>
          <w:sz w:val="32"/>
        </w:rPr>
        <w:t>国内市场上，集群产品覆盖商用车、工程机械、电力装备、新能源等多元渠道，市场触达广泛。随着新能源与智能交通推进，智能网联重卡、新能源物流车需求上升，莱芜以山东重工绿色智造产业城推动产品向高端化方向升级，高度契合国内需求结构的深刻变化，国内大循环的战略支点作用日益显现，内需市场支撑有力，市场前景广阔。可以预见，随着要素保障逐步完善，集群发展动能将得到进一步释放与增强。</w:t>
      </w:r>
    </w:p>
    <w:p>
      <w:pPr>
        <w:spacing w:lineRule="exact" w:line="600" w:after="0"/>
        <w:ind w:firstLine="420"/>
      </w:pPr>
      <w:r>
        <w:rPr>
          <w:rFonts w:ascii="仿宋_GB2312" w:hAnsi="仿宋_GB2312" w:eastAsia="仿宋_GB2312"/>
          <w:b w:val="0"/>
          <w:sz w:val="32"/>
        </w:rPr>
        <w:t>消费趋势上，绿色化、智能化需求上升，带动新能源重卡、智能叉车、智能电力设备增长，需求结构加快升级。莱芜区推动产品向智能网联、新能源方向升级，市场前景广阔，内需潜力正在加速释放，消费升级红利逐步显现，国内市场份额有望稳步扩大，国内大循环支撑作用日益增强，内需引擎作用凸显，增长动能充沛。这对优化产业组织形态、增强发展韧性具有积极的现实支撑意义与长远价值。</w:t>
      </w:r>
    </w:p>
    <w:p>
      <w:pPr>
        <w:spacing w:lineRule="exact" w:line="600" w:after="0"/>
        <w:ind w:firstLine="420"/>
      </w:pPr>
      <w:r>
        <w:rPr>
          <w:rFonts w:ascii="仿宋_GB2312" w:hAnsi="仿宋_GB2312" w:eastAsia="仿宋_GB2312"/>
          <w:b w:val="0"/>
          <w:sz w:val="32"/>
        </w:rPr>
        <w:t>需要关注国内市场竞争加剧与渠道费用上行，盈利空间受到挤压。集群品牌整体影响力虽强，但大量中小企业仍以区域配套与代工为主，终端溢价能力偏弱，亟待系统性品牌破局与渠道重构，提升价值链地位，摆脱低端代工困境，以品牌化提升国内市场份额，巩固并扩大领先优势，增强价值捕获能力，提升话语权。从长远计，构建开放协同的创新生态，是破解瓶颈制约的关键着力点所在。</w:t>
      </w:r>
    </w:p>
    <w:p>
      <w:pPr>
        <w:spacing w:before="120" w:after="120" w:lineRule="exact" w:line="600"/>
      </w:pPr>
      <w:r>
        <w:rPr>
          <w:rFonts w:ascii="楷体_GB2312" w:hAnsi="楷体_GB2312" w:eastAsia="楷体_GB2312"/>
          <w:b w:val="0"/>
          <w:sz w:val="32"/>
        </w:rPr>
        <w:t>（二）外贸出口</w:t>
      </w:r>
    </w:p>
    <w:p>
      <w:pPr>
        <w:spacing w:lineRule="exact" w:line="600" w:after="0"/>
        <w:ind w:firstLine="420"/>
      </w:pPr>
      <w:r>
        <w:rPr>
          <w:rFonts w:ascii="仿宋_GB2312" w:hAnsi="仿宋_GB2312" w:eastAsia="仿宋_GB2312"/>
          <w:b w:val="0"/>
          <w:sz w:val="32"/>
        </w:rPr>
        <w:t>出口是集群的重要优势，外向型特征鲜明。中国重汽重卡出口全球，正泰电缆新能源电缆出口欧美，国际竞争力强，外汇贡献突出，出口成为集群稳增长的重要引擎，外贸基本盘稳固，是山东省重要的装备制造外贸基地。智能网联与新能源装备的国际认可度持续提升，外向度稳步增强，抗周期能力较强。说明相关举措已初见成效，但要把成果做深做实，仍须常抓不懈、久久为功。</w:t>
      </w:r>
    </w:p>
    <w:p>
      <w:pPr>
        <w:spacing w:lineRule="exact" w:line="600" w:after="0"/>
        <w:ind w:firstLine="420"/>
      </w:pPr>
      <w:r>
        <w:rPr>
          <w:rFonts w:ascii="仿宋_GB2312" w:hAnsi="仿宋_GB2312" w:eastAsia="仿宋_GB2312"/>
          <w:b w:val="0"/>
          <w:sz w:val="32"/>
        </w:rPr>
        <w:t>从出口结构看，集群以重卡、电力电缆、智能装备为主，依托品质与技术获得国际客户认可，出口额占企业总产值比重较高，外向度在全省装备制造业中稳居前列，是外贸稳增长的重要支撑，抗周期能力强，在国际市场波动中展现出较强韧性，出口结构持续优化，高端产品出口比重稳步提升，国际市场份额不断扩大。由此进一步印证，特色化、差异化的发展路径符合集群实际与自身比较优势。</w:t>
      </w:r>
    </w:p>
    <w:p>
      <w:pPr>
        <w:spacing w:lineRule="exact" w:line="600" w:after="0"/>
        <w:ind w:firstLine="420"/>
      </w:pPr>
      <w:r>
        <w:rPr>
          <w:rFonts w:ascii="仿宋_GB2312" w:hAnsi="仿宋_GB2312" w:eastAsia="仿宋_GB2312"/>
          <w:b w:val="0"/>
          <w:sz w:val="32"/>
        </w:rPr>
        <w:t>需要关注国际经贸壁垒与汇率波动风险，外部环境不确定性上升。巩固欧亚、欧美市场，拓展高端装备出口渠道，并提升自主品牌出口比例，是稳定外贸基本盘、增强抗风险能力的关键举措，须未雨绸缪，加快构建多元稳定的出口市场格局，以市场多元化分散风险，增强外向型经济韧性，提升抗风险能力。这对稳定经营主体预期、激发市场活力将发挥重要的牵引与保障作用。</w:t>
      </w:r>
    </w:p>
    <w:p>
      <w:pPr>
        <w:spacing w:before="120" w:after="120" w:lineRule="exact" w:line="600"/>
      </w:pPr>
      <w:r>
        <w:rPr>
          <w:rFonts w:ascii="楷体_GB2312" w:hAnsi="楷体_GB2312" w:eastAsia="楷体_GB2312"/>
          <w:b w:val="0"/>
          <w:sz w:val="32"/>
        </w:rPr>
        <w:t>（三）品牌建设</w:t>
      </w:r>
    </w:p>
    <w:p>
      <w:pPr>
        <w:spacing w:lineRule="exact" w:line="600" w:after="0"/>
        <w:ind w:firstLine="420"/>
      </w:pPr>
      <w:r>
        <w:rPr>
          <w:rFonts w:ascii="仿宋_GB2312" w:hAnsi="仿宋_GB2312" w:eastAsia="仿宋_GB2312"/>
          <w:b w:val="0"/>
          <w:sz w:val="32"/>
        </w:rPr>
        <w:t>品牌矩阵上，集群拥有“黄河”重卡、中国重汽、正泰、泰莱等知名装备品牌，品牌辨识度在全国领先。但整体上仍以企业品牌为主，集群区域公用品牌偏弱，资源整合不足，难以形成合力，区域品牌效应尚未充分释放，需要加强顶层设计与统筹，以区域公用品牌统领企业品牌，避免内部品牌资源耗散，提升整体溢价能力，增强区域标识度。需以底线思维统筹发展与安全，在变化中牢牢把握集群发展的战略主动。</w:t>
      </w:r>
    </w:p>
    <w:p>
      <w:pPr>
        <w:spacing w:lineRule="exact" w:line="600" w:after="0"/>
        <w:ind w:firstLine="420"/>
      </w:pPr>
      <w:r>
        <w:rPr>
          <w:rFonts w:ascii="仿宋_GB2312" w:hAnsi="仿宋_GB2312" w:eastAsia="仿宋_GB2312"/>
          <w:b w:val="0"/>
          <w:sz w:val="32"/>
        </w:rPr>
        <w:t>中国重汽以自主高端重卡与绿色制造树立形象，正泰以超高压电缆技术铸就品牌背书，泰莱以首台（套）重大装备提升品牌内涵，体现出“技术+品质”双轮驱动的品牌建设路径，为中小企业提供了可借鉴可复制的范式，说明技术壁垒与品质背书是品牌建设的关键支点，品牌方法论日益清晰，示范价值突出，可复制性较强。这也对营商环境与公共服务提出了更高要求，须持续用力、不断优化提升。</w:t>
      </w:r>
    </w:p>
    <w:p>
      <w:pPr>
        <w:spacing w:lineRule="exact" w:line="600" w:after="0"/>
        <w:ind w:firstLine="420"/>
      </w:pPr>
      <w:r>
        <w:rPr>
          <w:rFonts w:ascii="仿宋_GB2312" w:hAnsi="仿宋_GB2312" w:eastAsia="仿宋_GB2312"/>
          <w:b w:val="0"/>
          <w:sz w:val="32"/>
        </w:rPr>
        <w:t>需要重点培育“莱芜高端装备”区域公用品牌，整合分散的企业品牌资源，借助展会与产业城统一对外形象，提升集群整体品牌溢价与全国市场认知度，避免内部品牌资源耗散与相互削弱，做强区域名片，以区域公用品牌统领企业品牌协同发展，以品牌之力提升产业整体价值，让区域名片成为走向世界的通行证。总体判断，只要方向明确、举措得当，集群完全有能力迈上更高的发展能级。</w:t>
      </w:r>
    </w:p>
    <w:p>
      <w:pPr>
        <w:spacing w:before="120" w:after="120" w:lineRule="exact" w:line="600"/>
      </w:pPr>
      <w:r>
        <w:rPr>
          <w:rFonts w:ascii="楷体_GB2312" w:hAnsi="楷体_GB2312" w:eastAsia="楷体_GB2312"/>
          <w:b w:val="0"/>
          <w:sz w:val="32"/>
        </w:rPr>
        <w:t>（四）需求端变化</w:t>
      </w:r>
    </w:p>
    <w:p>
      <w:pPr>
        <w:spacing w:lineRule="exact" w:line="600" w:after="0"/>
        <w:ind w:firstLine="420"/>
      </w:pPr>
      <w:r>
        <w:rPr>
          <w:rFonts w:ascii="仿宋_GB2312" w:hAnsi="仿宋_GB2312" w:eastAsia="仿宋_GB2312"/>
          <w:b w:val="0"/>
          <w:sz w:val="32"/>
        </w:rPr>
        <w:t>需求端呈现智能化、绿色化、高端化三大趋势，消费变革深刻。智能网联重卡、新能源物流车对应绿色交通的功能性需求，为集群产品升级指明方向，市场空间广阔且增长确定性较强，战略机遇难得，应抓紧布局抢占先机，把需求变化转化为产品升级的动力，以需求牵引供给升级，赢得市场主动，实现供需动态适配，抢占风口。此类探索为同类地区提供了可借鉴经验，其示范价值值得充分肯定与推广。</w:t>
      </w:r>
    </w:p>
    <w:p>
      <w:pPr>
        <w:spacing w:lineRule="exact" w:line="600" w:after="0"/>
        <w:ind w:firstLine="420"/>
      </w:pPr>
      <w:r>
        <w:rPr>
          <w:rFonts w:ascii="仿宋_GB2312" w:hAnsi="仿宋_GB2312" w:eastAsia="仿宋_GB2312"/>
          <w:b w:val="0"/>
          <w:sz w:val="32"/>
        </w:rPr>
        <w:t>新能源与智能电力需求快速增长，推动装备企业向智能变配电、储能延伸，产业升级窗口打开。泰莱电气智能变配电基地、正泰新能源电缆反映装备内销与出口双轮扩张的态势，需求拉动效应明显，增长动能充沛，应当顺应趋势扩大高附加值产能，抢占新消费风口与不断扩张的增量市场，赢得发展主动，拓展增长空间。把规划蓝图变为现实成果，关键在于狠抓落实、强化督导并形成管理闭环。</w:t>
      </w:r>
    </w:p>
    <w:p>
      <w:pPr>
        <w:spacing w:lineRule="exact" w:line="600" w:after="0"/>
        <w:ind w:firstLine="420"/>
      </w:pPr>
      <w:r>
        <w:rPr>
          <w:rFonts w:ascii="仿宋_GB2312" w:hAnsi="仿宋_GB2312" w:eastAsia="仿宋_GB2312"/>
          <w:b w:val="0"/>
          <w:sz w:val="32"/>
        </w:rPr>
        <w:t>消费渠道向跨境电商、线上交易迁移，对集群供应链响应速度提出更高要求，渠道变革加速。补齐数字化流通短板、建设装备产业互联网平台，方能更好承接需求端的结构性变化，抢占新消费风口，实现供给与需求的更高水平动态适配，以敏捷供应链响应新需求，赢得发展主动，提升响应效率与交付能力。相关经验若能在集群内有序复制推广，将显著放大整体发展的协同效应。</w:t>
      </w:r>
    </w:p>
    <w:p>
      <w:pPr>
        <w:spacing w:before="240" w:after="120" w:lineRule="exact" w:line="600"/>
      </w:pPr>
      <w:r>
        <w:rPr>
          <w:rFonts w:ascii="黑体" w:hAnsi="黑体" w:eastAsia="黑体"/>
          <w:b w:val="0"/>
          <w:sz w:val="32"/>
        </w:rPr>
        <w:t>七、竞争格局与风险挑战</w:t>
      </w:r>
    </w:p>
    <w:p>
      <w:pPr>
        <w:spacing w:before="120" w:after="120" w:lineRule="exact" w:line="600"/>
      </w:pPr>
      <w:r>
        <w:rPr>
          <w:rFonts w:ascii="楷体_GB2312" w:hAnsi="楷体_GB2312" w:eastAsia="楷体_GB2312"/>
          <w:b w:val="0"/>
          <w:sz w:val="32"/>
        </w:rPr>
        <w:t>（一）区域竞争</w:t>
      </w:r>
    </w:p>
    <w:p>
      <w:pPr>
        <w:spacing w:lineRule="exact" w:line="600" w:after="0"/>
        <w:ind w:firstLine="420"/>
      </w:pPr>
      <w:r>
        <w:rPr>
          <w:rFonts w:ascii="仿宋_GB2312" w:hAnsi="仿宋_GB2312" w:eastAsia="仿宋_GB2312"/>
          <w:b w:val="0"/>
          <w:sz w:val="32"/>
        </w:rPr>
        <w:t>从区域竞争看，我国是装备制造大省集聚区，济南、青岛、潍坊等地装备产业集群实力雄厚，区域竞争日趋激烈。莱芜在重卡、智能叉车、电力装备领域特色鲜明，但在常规零部件赛道面临周边强市的激烈竞争，必须走差异化发展道路，避免正面同质化竞争，在智能网联、新能源等细分领域构筑比较优势，以特色取胜而非规模取胜。这表明市场与政府同向发力，是提升产业能级与竞争力的有效实现路径。</w:t>
      </w:r>
    </w:p>
    <w:p>
      <w:pPr>
        <w:spacing w:lineRule="exact" w:line="600" w:after="0"/>
        <w:ind w:firstLine="420"/>
      </w:pPr>
      <w:r>
        <w:rPr>
          <w:rFonts w:ascii="仿宋_GB2312" w:hAnsi="仿宋_GB2312" w:eastAsia="仿宋_GB2312"/>
          <w:b w:val="0"/>
          <w:sz w:val="32"/>
        </w:rPr>
        <w:t>济南市内莱芜高端装备与济南高新区智能制造、章丘交通装备等集群共同发展，市级层面统筹“3+2”重点产业，区域间在政策与要素资源上存在一定竞争，需要明确各自的差异化定位与分工，形成错位发展格局，避免市内集群之间的内耗与重复建设，以市域协同提升整体竞争力，实现互补共赢，共同做大先进制造版图。对中小企业而言，融入这一进程既是挑战，更是实现能级跃升的重要契机。</w:t>
      </w:r>
    </w:p>
    <w:p>
      <w:pPr>
        <w:spacing w:lineRule="exact" w:line="600" w:after="0"/>
        <w:ind w:firstLine="420"/>
      </w:pPr>
      <w:r>
        <w:rPr>
          <w:rFonts w:ascii="仿宋_GB2312" w:hAnsi="仿宋_GB2312" w:eastAsia="仿宋_GB2312"/>
          <w:b w:val="0"/>
          <w:sz w:val="32"/>
        </w:rPr>
        <w:t>全国层面，山东、江苏、广东等地装备制造产业集群规模化程度高，竞争压力来自更广阔范围。莱芜需以绿色制造与智能网联实现差异化突围，避免在通用零部件领域陷入低价同质竞争，坚定不移地走专精特新、特色取胜之路，锻造独特竞争优势，守住并扩大市场份额，以特色壁垒抵御外部竞争，提升行业话语权。由此形成的良性循环，将为集群行稳致远提供坚实而持久的内在支撑。</w:t>
      </w:r>
    </w:p>
    <w:p>
      <w:pPr>
        <w:spacing w:before="120" w:after="120" w:lineRule="exact" w:line="600"/>
      </w:pPr>
      <w:r>
        <w:rPr>
          <w:rFonts w:ascii="楷体_GB2312" w:hAnsi="楷体_GB2312" w:eastAsia="楷体_GB2312"/>
          <w:b w:val="0"/>
          <w:sz w:val="32"/>
        </w:rPr>
        <w:t>（二）内部问题</w:t>
      </w:r>
    </w:p>
    <w:p>
      <w:pPr>
        <w:spacing w:lineRule="exact" w:line="600" w:after="0"/>
        <w:ind w:firstLine="420"/>
      </w:pPr>
      <w:r>
        <w:rPr>
          <w:rFonts w:ascii="仿宋_GB2312" w:hAnsi="仿宋_GB2312" w:eastAsia="仿宋_GB2312"/>
          <w:b w:val="0"/>
          <w:sz w:val="32"/>
        </w:rPr>
        <w:t>内部问题首推产业链两端薄弱：研发设计与系统集成能力不足，大量中小企业以零部件、代工为主，附加值捕获有限，制约了集群整体效益提升与价值链向高端环节攀升的速度与质量，迫切需要通过创新加以破解，扭转低端锁定的被动局面，以两端突破提升全链效益，破解配套依赖困局，提升价值捕获能力。上述情况表明，相关环节仍有较大提升潜力与拓展空间，需持续发力加以巩固。</w:t>
      </w:r>
    </w:p>
    <w:p>
      <w:pPr>
        <w:spacing w:lineRule="exact" w:line="600" w:after="0"/>
        <w:ind w:firstLine="420"/>
      </w:pPr>
      <w:r>
        <w:rPr>
          <w:rFonts w:ascii="仿宋_GB2312" w:hAnsi="仿宋_GB2312" w:eastAsia="仿宋_GB2312"/>
          <w:b w:val="0"/>
          <w:sz w:val="32"/>
        </w:rPr>
        <w:t>其次是企业规模结构失衡，小微企业多、抗风险弱，绿色技改与数字化转型投入不足；部分园区公共配套与环保设施滞后，影响产品品质与可持续盈利空间，成为制约升级的瓶颈因素，需要系统施策、协同破解，以结构优化释放发展潜能，筑牢可持续发展根基，引导企业向“专精特新”转型，提升整体能级与抗风险能力。从中可见，夯实产业基础并稳步固链强链，是稳当前、谋长远的必然选择。</w:t>
      </w:r>
    </w:p>
    <w:p>
      <w:pPr>
        <w:spacing w:lineRule="exact" w:line="600" w:after="0"/>
        <w:ind w:firstLine="420"/>
      </w:pPr>
      <w:r>
        <w:rPr>
          <w:rFonts w:ascii="仿宋_GB2312" w:hAnsi="仿宋_GB2312" w:eastAsia="仿宋_GB2312"/>
          <w:b w:val="0"/>
          <w:sz w:val="32"/>
        </w:rPr>
        <w:t>再次是创新平台层级虽高但普惠性不足，面向中小企业的公共中试与检测载体短缺，技术成果主要在龙头企业内部闭环，中小企业难以共享，制约了集群协同创新效率与整体技术进步速度的同步提升，亟待补齐平台短板，强化公共服务，构建开放协同的创新生态体系，以平台支撑创新驱动，缩小能力差距。由此判断，把既有优势转化为持久竞争力，仍需久久为功、持续加力。</w:t>
      </w:r>
    </w:p>
    <w:p>
      <w:pPr>
        <w:spacing w:before="120" w:after="120" w:lineRule="exact" w:line="600"/>
      </w:pPr>
      <w:r>
        <w:rPr>
          <w:rFonts w:ascii="楷体_GB2312" w:hAnsi="楷体_GB2312" w:eastAsia="楷体_GB2312"/>
          <w:b w:val="0"/>
          <w:sz w:val="32"/>
        </w:rPr>
        <w:t>（三）外部风险</w:t>
      </w:r>
    </w:p>
    <w:p>
      <w:pPr>
        <w:spacing w:lineRule="exact" w:line="600" w:after="0"/>
        <w:ind w:firstLine="420"/>
      </w:pPr>
      <w:r>
        <w:rPr>
          <w:rFonts w:ascii="仿宋_GB2312" w:hAnsi="仿宋_GB2312" w:eastAsia="仿宋_GB2312"/>
          <w:b w:val="0"/>
          <w:sz w:val="32"/>
        </w:rPr>
        <w:t>外部风险方面，钢材与关键零部件价格受国际市场波动影响，成本端不确定性上升；国际经贸壁垒、汇率波动对出口占比高的企业构成持续压力，需要建立有效的风险对冲、预警与应急储备机制，增强发展的稳健性，提高集群应对外部冲击的韧性与快速修复能力，以风险管理护航稳定发展，增强抗风险能力，提升修复弹性。总体看，这一态势有利于集群提质增效，但短板亦不容忽视，须统筹施策。</w:t>
      </w:r>
    </w:p>
    <w:p>
      <w:pPr>
        <w:spacing w:lineRule="exact" w:line="600" w:after="0"/>
        <w:ind w:firstLine="420"/>
      </w:pPr>
      <w:r>
        <w:rPr>
          <w:rFonts w:ascii="仿宋_GB2312" w:hAnsi="仿宋_GB2312" w:eastAsia="仿宋_GB2312"/>
          <w:b w:val="0"/>
          <w:sz w:val="32"/>
        </w:rPr>
        <w:t>能耗双控与环保监管趋严，钢铁与装备制造环节排放与能耗标准提高，部分环保设施薄弱的中小企业面临整改与退出风险，对集群稳定发展形成挑战，绿色转型已经迫在眉睫、刻不容缓，须主动作为，加快改造提升步伐，以绿色合规筑牢生存发展底线，以绿色转型赢得未来空间，实现低碳发展，守住生态红线。展望未来，在政策与市场共同作用下，相关领域有望迎来更高质量的发展。</w:t>
      </w:r>
    </w:p>
    <w:p>
      <w:pPr>
        <w:spacing w:lineRule="exact" w:line="600" w:after="0"/>
        <w:ind w:firstLine="420"/>
      </w:pPr>
      <w:r>
        <w:rPr>
          <w:rFonts w:ascii="仿宋_GB2312" w:hAnsi="仿宋_GB2312" w:eastAsia="仿宋_GB2312"/>
          <w:b w:val="0"/>
          <w:sz w:val="32"/>
        </w:rPr>
        <w:t>消费需求迭代加快，若产品升级跟不上智能化、绿色化节奏，集群可能被新兴产区替代，竞争劣势放大。需以持续创新与品牌建设对冲外部不确定性，巩固既有的特色优势与市场领先地位，保持战略定力、行稳致远，在变化中把握发展主动权，以动态能力应对外部变局，实现行稳致远，巩固领先优势，保持战略主动。应当看到，机遇与挑战并存，唯有主动作为方能巩固并扩大既有领先优势。</w:t>
      </w:r>
    </w:p>
    <w:p>
      <w:pPr>
        <w:spacing w:before="240" w:after="120" w:lineRule="exact" w:line="600"/>
      </w:pPr>
      <w:r>
        <w:rPr>
          <w:rFonts w:ascii="黑体" w:hAnsi="黑体" w:eastAsia="黑体"/>
          <w:b w:val="0"/>
          <w:sz w:val="32"/>
        </w:rPr>
        <w:t>八、政策与营商环境</w:t>
      </w:r>
    </w:p>
    <w:p>
      <w:pPr>
        <w:spacing w:before="120" w:after="120" w:lineRule="exact" w:line="600"/>
      </w:pPr>
      <w:r>
        <w:rPr>
          <w:rFonts w:ascii="楷体_GB2312" w:hAnsi="楷体_GB2312" w:eastAsia="楷体_GB2312"/>
          <w:b w:val="0"/>
          <w:sz w:val="32"/>
        </w:rPr>
        <w:t>（一）顶层政策</w:t>
      </w:r>
    </w:p>
    <w:p>
      <w:pPr>
        <w:spacing w:lineRule="exact" w:line="600" w:after="0"/>
        <w:ind w:firstLine="420"/>
      </w:pPr>
      <w:r>
        <w:rPr>
          <w:rFonts w:ascii="仿宋_GB2312" w:hAnsi="仿宋_GB2312" w:eastAsia="仿宋_GB2312"/>
          <w:b w:val="0"/>
          <w:sz w:val="32"/>
        </w:rPr>
        <w:t>国家层面，黄河流域生态保护和高质量发展战略、制造强国与工业强基政策为集群提供方向指引，山东省特色产业集群与创新型产业集群培育机制是集群获省级认定的重要制度基础，导向清晰，政策协同性不断增强，为集群发展营造了良好的顶层制度环境，国家战略红利持续释放，先进制造获得明确政策支撑，新材料新装备发展迎来窗口期。实践说明，依托龙头带动与协同配套，可有效提升整体运行效率与抗风险韧性。</w:t>
      </w:r>
    </w:p>
    <w:p>
      <w:pPr>
        <w:spacing w:lineRule="exact" w:line="600" w:after="0"/>
        <w:ind w:firstLine="420"/>
      </w:pPr>
      <w:r>
        <w:rPr>
          <w:rFonts w:ascii="仿宋_GB2312" w:hAnsi="仿宋_GB2312" w:eastAsia="仿宋_GB2312"/>
          <w:b w:val="0"/>
          <w:sz w:val="32"/>
        </w:rPr>
        <w:t>省级层面，山东省将高端装备作为重点产业链，将莱芜高端装备纳入特色产业集群，并配套专精特新、首台（套）等专项政策，为集群企业争取资质与资金提供支持，政策叠加效应日益明显，红利持续释放，企业获得感不断提升，省级赋能成效显著，特色产业集群建设步入快车道，政策预期更趋稳定，发展环境持续优化。需要强调的是，相关工作的系统性与协同性，直接关系集群升级的成败。</w:t>
      </w:r>
    </w:p>
    <w:p>
      <w:pPr>
        <w:spacing w:lineRule="exact" w:line="600" w:after="0"/>
        <w:ind w:firstLine="420"/>
      </w:pPr>
      <w:r>
        <w:rPr>
          <w:rFonts w:ascii="仿宋_GB2312" w:hAnsi="仿宋_GB2312" w:eastAsia="仿宋_GB2312"/>
          <w:b w:val="0"/>
          <w:sz w:val="32"/>
        </w:rPr>
        <w:t>市级层面，济南市将莱芜区定位为“黄河流域先进制造业中心、省会城市副中心”，出台支持莱芜区、钢城区加快发展十四条政策，在培育力度与资源倾斜上持续加码，营造了重视集群、支持集群的浓厚氛围，形成上下合力，为集群争取更多要素支撑创造了条件，市域统筹力度不断加大，政策赋能成效显著。综合研判，集群已具备一定基础，下一步须在补链延链上取得实质性突破。</w:t>
      </w:r>
    </w:p>
    <w:p>
      <w:pPr>
        <w:spacing w:before="120" w:after="120" w:lineRule="exact" w:line="600"/>
      </w:pPr>
      <w:r>
        <w:rPr>
          <w:rFonts w:ascii="楷体_GB2312" w:hAnsi="楷体_GB2312" w:eastAsia="楷体_GB2312"/>
          <w:b w:val="0"/>
          <w:sz w:val="32"/>
        </w:rPr>
        <w:t>（二）地方扶持</w:t>
      </w:r>
    </w:p>
    <w:p>
      <w:pPr>
        <w:spacing w:lineRule="exact" w:line="600" w:after="0"/>
        <w:ind w:firstLine="420"/>
      </w:pPr>
      <w:r>
        <w:rPr>
          <w:rFonts w:ascii="仿宋_GB2312" w:hAnsi="仿宋_GB2312" w:eastAsia="仿宋_GB2312"/>
          <w:b w:val="0"/>
          <w:sz w:val="32"/>
        </w:rPr>
        <w:t>莱芜区建立链长挂帅、链主带动、专员推进的工作机制，对山东重工、中国重汽等龙头扶持整车与核心部件项目，对中小企业推广普惠政策，实现分类精准滴灌、靶向施策，政策靶向性与实效性显著增强，不同主体都能获得与其发展阶段相匹配的扶持，政策供给更趋精准，扶持效能稳步提升，企业获得感明显增强，服务机制日益健全。可以预见，随着要素保障逐步完善，集群发展动能将得到进一步释放与增强。</w:t>
      </w:r>
    </w:p>
    <w:p>
      <w:pPr>
        <w:spacing w:lineRule="exact" w:line="600" w:after="0"/>
        <w:ind w:firstLine="420"/>
      </w:pPr>
      <w:r>
        <w:rPr>
          <w:rFonts w:ascii="仿宋_GB2312" w:hAnsi="仿宋_GB2312" w:eastAsia="仿宋_GB2312"/>
          <w:b w:val="0"/>
          <w:sz w:val="32"/>
        </w:rPr>
        <w:t>资金精准滴灌方面，三年来累计争取上级各类资金二十七点四亿元、设备更新再贷款额度三十九点三亿元，完成供地三千一百亩；设立汽车产业科为中国重汽提供“一对一”贴身服务，着力破解职工子女入学、配套建设等关键问题，让有限财政资金产生最大撬动效应，投资拉动成效显著，要素保障坚实有力，服务精准高效。这对优化产业组织形态、增强发展韧性具有积极的现实支撑意义与长远价值。</w:t>
      </w:r>
    </w:p>
    <w:p>
      <w:pPr>
        <w:spacing w:lineRule="exact" w:line="600" w:after="0"/>
        <w:ind w:firstLine="420"/>
      </w:pPr>
      <w:r>
        <w:rPr>
          <w:rFonts w:ascii="仿宋_GB2312" w:hAnsi="仿宋_GB2312" w:eastAsia="仿宋_GB2312"/>
          <w:b w:val="0"/>
          <w:sz w:val="32"/>
        </w:rPr>
        <w:t>营商环境上，莱芜区深化“放管服”改革，推出二十四小时企业管家服务，构建咨询、协调、帮办、陪跑全流程体系，开展“百人助百企”专项行动与“十件助企实事”，企业获得感显著增强，投资信心稳步回升，亲清政商关系与高效服务成为集群软实力，营商环境持续优化，“莱好办”品牌日益响亮，服务效能稳步提高。从长远计，构建开放协同的创新生态，是破解瓶颈制约的关键着力点所在。</w:t>
      </w:r>
    </w:p>
    <w:p>
      <w:pPr>
        <w:spacing w:before="120" w:after="120" w:lineRule="exact" w:line="600"/>
      </w:pPr>
      <w:r>
        <w:rPr>
          <w:rFonts w:ascii="楷体_GB2312" w:hAnsi="楷体_GB2312" w:eastAsia="楷体_GB2312"/>
          <w:b w:val="0"/>
          <w:sz w:val="32"/>
        </w:rPr>
        <w:t>（三）公共配套</w:t>
      </w:r>
    </w:p>
    <w:p>
      <w:pPr>
        <w:spacing w:lineRule="exact" w:line="600" w:after="0"/>
        <w:ind w:firstLine="420"/>
      </w:pPr>
      <w:r>
        <w:rPr>
          <w:rFonts w:ascii="仿宋_GB2312" w:hAnsi="仿宋_GB2312" w:eastAsia="仿宋_GB2312"/>
          <w:b w:val="0"/>
          <w:sz w:val="32"/>
        </w:rPr>
        <w:t>公共配套以园区与产业城为主，载体体系逐步健全。山东重工绿色智造产业城规划三十余平方公里，莱芜高新区为成长型企业提供标准化厂房与孵化载体，承载整车、核心部件与智能装备，载体能级较高，承载能力较强，为项目落地提供坚实支撑，降低了企业初始投资强度，载体保障有力，集聚效应持续放大，园区承载力不断增强。说明相关举措已初见成效，但要把成果做深做实，仍须常抓不懈、久久为功。</w:t>
      </w:r>
    </w:p>
    <w:p>
      <w:pPr>
        <w:spacing w:lineRule="exact" w:line="600" w:after="0"/>
        <w:ind w:firstLine="420"/>
      </w:pPr>
      <w:r>
        <w:rPr>
          <w:rFonts w:ascii="仿宋_GB2312" w:hAnsi="仿宋_GB2312" w:eastAsia="仿宋_GB2312"/>
          <w:b w:val="0"/>
          <w:sz w:val="32"/>
        </w:rPr>
        <w:t>数字配套上，莱芜高新区获批国家级“绿色工业园区”，建设市域产教联合体与公共服务平台；主导产业数控化率达百分之九十以上，全区先进级智能工厂持续增加，公共服务体系日臻完善，企业满意度提升，数字化公共服务开始显现降本增效的乘数作用，公共配套效能稳步提升，协同水平持续提高，数智赋能成效显现。由此进一步印证，特色化、差异化的发展路径符合集群实际与自身比较优势。</w:t>
      </w:r>
    </w:p>
    <w:p>
      <w:pPr>
        <w:spacing w:lineRule="exact" w:line="600" w:after="0"/>
        <w:ind w:firstLine="420"/>
      </w:pPr>
      <w:r>
        <w:rPr>
          <w:rFonts w:ascii="仿宋_GB2312" w:hAnsi="仿宋_GB2312" w:eastAsia="仿宋_GB2312"/>
          <w:b w:val="0"/>
          <w:sz w:val="32"/>
        </w:rPr>
        <w:t>需要关注的是，面向中小企业的公共检测、中试、供应链协同等共享服务仍不充分，应加快补齐，降低小微企业进入高附加值环节的门槛与成本，促进整体能级稳步提升与公平竞争，让更多中小企业享公共服务红利，缩小企业间能力差距，以共享服务普惠中小企业，提升公共服务均等化水平，增强微观活力与协同效率。这对稳定经营主体预期、激发市场活力将发挥重要的牵引与保障作用。</w:t>
      </w:r>
    </w:p>
    <w:p>
      <w:pPr>
        <w:spacing w:before="120" w:after="120" w:lineRule="exact" w:line="600"/>
      </w:pPr>
      <w:r>
        <w:rPr>
          <w:rFonts w:ascii="楷体_GB2312" w:hAnsi="楷体_GB2312" w:eastAsia="楷体_GB2312"/>
          <w:b w:val="0"/>
          <w:sz w:val="32"/>
        </w:rPr>
        <w:t>（四）行业协会作用</w:t>
      </w:r>
    </w:p>
    <w:p>
      <w:pPr>
        <w:spacing w:lineRule="exact" w:line="600" w:after="0"/>
        <w:ind w:firstLine="420"/>
      </w:pPr>
      <w:r>
        <w:rPr>
          <w:rFonts w:ascii="仿宋_GB2312" w:hAnsi="仿宋_GB2312" w:eastAsia="仿宋_GB2312"/>
          <w:b w:val="0"/>
          <w:sz w:val="32"/>
        </w:rPr>
        <w:t>装备行业协会与产业联盟在质量标准推广、供应链协同上发挥重要作用，行业自律逐步加强。莱芜依托产业链党建共建办公室、产业链交流合作办公室发布协作配套政策、组织供需对接会，维护区域产品质量声誉，守住质量底线，为健康发展保驾护航，质量安全成为集群生命线，行业自我约束机制逐步形成，协同治理格局日益完善。需以底线思维统筹发展与安全，在变化中牢牢把握集群发展的战略主动。</w:t>
      </w:r>
    </w:p>
    <w:p>
      <w:pPr>
        <w:spacing w:lineRule="exact" w:line="600" w:after="0"/>
        <w:ind w:firstLine="420"/>
      </w:pPr>
      <w:r>
        <w:rPr>
          <w:rFonts w:ascii="仿宋_GB2312" w:hAnsi="仿宋_GB2312" w:eastAsia="仿宋_GB2312"/>
          <w:b w:val="0"/>
          <w:sz w:val="32"/>
        </w:rPr>
        <w:t>从组织形态看，集群依托链长制与龙头企业带动，协会与党建共建平台的纽带功能日益增强。通过定期发布产业协作配套政策、组织供需对接会，推动企业间信息互通与联合攻关，协同效率显著提升，市场化机制逐步完善，以补政府服务之不足，构建政府、市场、社会协同治理格局，发挥协会桥梁纽带作用，提升协同水平。这也对营商环境与公共服务提出了更高要求，须持续用力、不断优化提升。</w:t>
      </w:r>
    </w:p>
    <w:p>
      <w:pPr>
        <w:spacing w:lineRule="exact" w:line="600" w:after="0"/>
        <w:ind w:firstLine="420"/>
      </w:pPr>
      <w:r>
        <w:rPr>
          <w:rFonts w:ascii="仿宋_GB2312" w:hAnsi="仿宋_GB2312" w:eastAsia="仿宋_GB2312"/>
          <w:b w:val="0"/>
          <w:sz w:val="32"/>
        </w:rPr>
        <w:t>建议进一步强化装备行业协会在公用品牌、团体标准、组团参展等方面的统筹作用，提升中小企业抱团发展与应对外部风险的能力，弥补政府服务的市场化盲区与短板，形成多元治理格局，增强行业自律与凝聚力，让协会真正成为连接政企的桥梁纽带，以行业自治提升协同水平，凝聚发展合力，提升整体竞争力与话语权。总体判断，只要方向明确、举措得当，集群完全有能力迈上更高的发展能级。</w:t>
      </w:r>
    </w:p>
    <w:p>
      <w:pPr>
        <w:spacing w:before="240" w:after="120" w:lineRule="exact" w:line="600"/>
      </w:pPr>
      <w:r>
        <w:rPr>
          <w:rFonts w:ascii="黑体" w:hAnsi="黑体" w:eastAsia="黑体"/>
          <w:b w:val="0"/>
          <w:sz w:val="32"/>
        </w:rPr>
        <w:t>九、集群发展成效与效应</w:t>
      </w:r>
    </w:p>
    <w:p>
      <w:pPr>
        <w:spacing w:before="120" w:after="120" w:lineRule="exact" w:line="600"/>
      </w:pPr>
      <w:r>
        <w:rPr>
          <w:rFonts w:ascii="楷体_GB2312" w:hAnsi="楷体_GB2312" w:eastAsia="楷体_GB2312"/>
          <w:b w:val="0"/>
          <w:sz w:val="32"/>
        </w:rPr>
        <w:t>（一）经济效应</w:t>
      </w:r>
    </w:p>
    <w:p>
      <w:pPr>
        <w:spacing w:lineRule="exact" w:line="600" w:after="0"/>
        <w:ind w:firstLine="420"/>
      </w:pPr>
      <w:r>
        <w:rPr>
          <w:rFonts w:ascii="仿宋_GB2312" w:hAnsi="仿宋_GB2312" w:eastAsia="仿宋_GB2312"/>
          <w:b w:val="0"/>
          <w:sz w:val="32"/>
        </w:rPr>
        <w:t>经济效应显著，集群对区域经济的支撑作用突出。二〇二四年莱芜区工业总产值实现一千三百零七亿元、总量居全市第二位，其中汽车产业链条产值突破三百五十亿元，高端装备成为核心增长极，对工业增长的贡献十分突出，压舱石作用明显，发展质量稳步改善，经济支撑地位稳固，是区域经济的支柱板块，辐射带动能力持续增强。此类探索为同类地区提供了可借鉴经验，其示范价值值得充分肯定与推广。</w:t>
      </w:r>
    </w:p>
    <w:p>
      <w:pPr>
        <w:spacing w:lineRule="exact" w:line="600" w:after="0"/>
        <w:ind w:firstLine="420"/>
      </w:pPr>
      <w:r>
        <w:rPr>
          <w:rFonts w:ascii="仿宋_GB2312" w:hAnsi="仿宋_GB2312" w:eastAsia="仿宋_GB2312"/>
          <w:b w:val="0"/>
          <w:sz w:val="32"/>
        </w:rPr>
        <w:t>集群带动上下游协同产出，从精品钢到整车、电力装备、智能运维形成产值闭环，九十四家规上企业构成稳定税源与工业增长极，产业关联带动效应明显，乘数效应可观，拉动面广，对区域经济的辐射带动能力持续增强，产业链上下游受益面广，经济溢出效应显著，支撑作用强劲，区域工业半壁江山地位稳固，带动面广。把规划蓝图变为现实成果，关键在于狠抓落实、强化督导并形成管理闭环。</w:t>
      </w:r>
    </w:p>
    <w:p>
      <w:pPr>
        <w:spacing w:lineRule="exact" w:line="600" w:after="0"/>
        <w:ind w:firstLine="420"/>
      </w:pPr>
      <w:r>
        <w:rPr>
          <w:rFonts w:ascii="仿宋_GB2312" w:hAnsi="仿宋_GB2312" w:eastAsia="仿宋_GB2312"/>
          <w:b w:val="0"/>
          <w:sz w:val="32"/>
        </w:rPr>
        <w:t>出口对经济的拉动突出，中国重汽、正泰电缆等龙头企业出口额占比高，外汇收入与高端市场进入能力增强了集群经济的外向型韧性与抗周期能力，提升了经济发展的内在稳定性与安全性，为稳增长作出重要贡献，对外开放成为集群发展的重要引擎，外向型经济韧性增强，发展更趋稳健，国际竞争力持续提升。相关经验若能在集群内有序复制推广，将显著放大整体发展的协同效应。</w:t>
      </w:r>
    </w:p>
    <w:p>
      <w:pPr>
        <w:spacing w:before="120" w:after="120" w:lineRule="exact" w:line="600"/>
      </w:pPr>
      <w:r>
        <w:rPr>
          <w:rFonts w:ascii="楷体_GB2312" w:hAnsi="楷体_GB2312" w:eastAsia="楷体_GB2312"/>
          <w:b w:val="0"/>
          <w:sz w:val="32"/>
        </w:rPr>
        <w:t>（二）就业效应</w:t>
      </w:r>
    </w:p>
    <w:p>
      <w:pPr>
        <w:spacing w:lineRule="exact" w:line="600" w:after="0"/>
        <w:ind w:firstLine="420"/>
      </w:pPr>
      <w:r>
        <w:rPr>
          <w:rFonts w:ascii="仿宋_GB2312" w:hAnsi="仿宋_GB2312" w:eastAsia="仿宋_GB2312"/>
          <w:b w:val="0"/>
          <w:sz w:val="32"/>
        </w:rPr>
        <w:t>就业效应突出，集群是区域稳就业的主渠道。整车装配、零部件加工等环节劳动密集，吸纳大量产业工人，山东重工绿色智造产业城创造大量优质就业岗位，稳就业作用巨大，民生意义深远，是社会稳定的重要基石，惠及广大城乡群众，就业吸纳能力突出，社会效益显著，为居民增收提供坚实支撑，民生福祉持续改善。这表明市场与政府同向发力，是提升产业能级与竞争力的有效实现路径。</w:t>
      </w:r>
    </w:p>
    <w:p>
      <w:pPr>
        <w:spacing w:lineRule="exact" w:line="600" w:after="0"/>
        <w:ind w:firstLine="420"/>
      </w:pPr>
      <w:r>
        <w:rPr>
          <w:rFonts w:ascii="仿宋_GB2312" w:hAnsi="仿宋_GB2312" w:eastAsia="仿宋_GB2312"/>
          <w:b w:val="0"/>
          <w:sz w:val="32"/>
        </w:rPr>
        <w:t>集群通过产业链协作联结配套企业，使中小商户以劳务输出、半成品供应融入产业链，共享产业发展收益，助力居民增收，体现了联农带农的鲜明社会价值与共同富裕导向，让产业发展成果惠及更广群体，乡村振兴与产业发展实现良性互促，带农富农成效显著，社会效应多元而深远，城乡融合持续深化，就业带动面广。对中小企业而言，融入这一进程既是挑战，更是实现能级跃升的重要契机。</w:t>
      </w:r>
    </w:p>
    <w:p>
      <w:pPr>
        <w:spacing w:lineRule="exact" w:line="600" w:after="0"/>
        <w:ind w:firstLine="420"/>
      </w:pPr>
      <w:r>
        <w:rPr>
          <w:rFonts w:ascii="仿宋_GB2312" w:hAnsi="仿宋_GB2312" w:eastAsia="仿宋_GB2312"/>
          <w:b w:val="0"/>
          <w:sz w:val="32"/>
        </w:rPr>
        <w:t>从就业质量看，自动化产线提升效率的同时，对高技能岗位需求上升，就业结构正在优化。政府人才新政与技能培训推动劳动力结构优化，但高端研发与品牌人才仍显不足，需持续引进与培育，优化人才结构，实现更充分更高质量就业，增强人力资本支撑，以人才升级支撑就业提质，筑牢民生根基，提升就业质量，增强人才支撑。由此形成的良性循环，将为集群行稳致远提供坚实而持久的内在支撑。</w:t>
      </w:r>
    </w:p>
    <w:p>
      <w:pPr>
        <w:spacing w:before="120" w:after="120" w:lineRule="exact" w:line="600"/>
      </w:pPr>
      <w:r>
        <w:rPr>
          <w:rFonts w:ascii="楷体_GB2312" w:hAnsi="楷体_GB2312" w:eastAsia="楷体_GB2312"/>
          <w:b w:val="0"/>
          <w:sz w:val="32"/>
        </w:rPr>
        <w:t>（三）溢出效应</w:t>
      </w:r>
    </w:p>
    <w:p>
      <w:pPr>
        <w:spacing w:lineRule="exact" w:line="600" w:after="0"/>
        <w:ind w:firstLine="420"/>
      </w:pPr>
      <w:r>
        <w:rPr>
          <w:rFonts w:ascii="仿宋_GB2312" w:hAnsi="仿宋_GB2312" w:eastAsia="仿宋_GB2312"/>
          <w:b w:val="0"/>
          <w:sz w:val="32"/>
        </w:rPr>
        <w:t>溢出效应体现在产业链联动，公共投入撬动面广。山东重工绿色智造产业城、莱芜高新区等公共投入，降低中小企业进入门槛，带动零部件、物流、服务等关联产业发展，放大了集群的经济外溢效应与区域辐射力，促进了区域经济整体繁荣，集群的带动功能持续增强，关联产业受益明显，协同效应突出，辐射范围不断扩大，溢出效应显著。上述情况表明，相关环节仍有较大提升潜力与拓展空间，需持续发力加以巩固。</w:t>
      </w:r>
    </w:p>
    <w:p>
      <w:pPr>
        <w:spacing w:lineRule="exact" w:line="600" w:after="0"/>
        <w:ind w:firstLine="420"/>
      </w:pPr>
      <w:r>
        <w:rPr>
          <w:rFonts w:ascii="仿宋_GB2312" w:hAnsi="仿宋_GB2312" w:eastAsia="仿宋_GB2312"/>
          <w:b w:val="0"/>
          <w:sz w:val="32"/>
        </w:rPr>
        <w:t>技术溢出方面，中国重汽智能网联、氢燃料技术通过供应链向合作企业外溢；泰钢绿色洁净炼钢为钢铁板块提供示范样本，带动相关业态协同发展，综合效益多元而深远，为产业升级注入了新动能，创新成果的外部正效应不断显现，技术扩散带动区域整体进步，溢出效应持续放大，技术辐射带动区域整体进步，协同效应凸显。从中可见，夯实产业基础并稳步固链强链，是稳当前、谋长远的必然选择。</w:t>
      </w:r>
    </w:p>
    <w:p>
      <w:pPr>
        <w:spacing w:lineRule="exact" w:line="600" w:after="0"/>
        <w:ind w:firstLine="420"/>
      </w:pPr>
      <w:r>
        <w:rPr>
          <w:rFonts w:ascii="仿宋_GB2312" w:hAnsi="仿宋_GB2312" w:eastAsia="仿宋_GB2312"/>
          <w:b w:val="0"/>
          <w:sz w:val="32"/>
        </w:rPr>
        <w:t>品牌溢出上，龙头企业的出口资质与品质形象提升“莱芜高端装备”整体声誉，惠及配套中小企业，形成区域品牌的正向外部性，增强了集群整体市场竞争力与口碑，实现共赢发展，区域品牌价值不断提升，集群无形资产稳步积累，品牌外溢效应持续放大，区域名片更加响亮，国际影响力稳步增强，口碑效应凸显。由此判断，把既有优势转化为持久竞争力，仍需久久为功、持续加力。</w:t>
      </w:r>
    </w:p>
    <w:p>
      <w:pPr>
        <w:spacing w:before="120" w:after="120" w:lineRule="exact" w:line="600"/>
      </w:pPr>
      <w:r>
        <w:rPr>
          <w:rFonts w:ascii="楷体_GB2312" w:hAnsi="楷体_GB2312" w:eastAsia="楷体_GB2312"/>
          <w:b w:val="0"/>
          <w:sz w:val="32"/>
        </w:rPr>
        <w:t>（四）社会效应</w:t>
      </w:r>
    </w:p>
    <w:p>
      <w:pPr>
        <w:spacing w:lineRule="exact" w:line="600" w:after="0"/>
        <w:ind w:firstLine="420"/>
      </w:pPr>
      <w:r>
        <w:rPr>
          <w:rFonts w:ascii="仿宋_GB2312" w:hAnsi="仿宋_GB2312" w:eastAsia="仿宋_GB2312"/>
          <w:b w:val="0"/>
          <w:sz w:val="32"/>
        </w:rPr>
        <w:t>社会效应方面，集群壮大助力莱芜区获评山东省工业强县、山东省民营经济高质量发展先进区，提升了区域发展能级与民生福祉，产生了广泛而积极的社会影响与示范价值，群众获得感、幸福感增强，特色产业发展与区域形象提升实现良性互动，社会美誉度持续提升，区域影响力显著增强，城市名片更加耀眼，发展自信持续增强。总体看，这一态势有利于集群提质增效，但短板亦不容忽视，须统筹施策。</w:t>
      </w:r>
    </w:p>
    <w:p>
      <w:pPr>
        <w:spacing w:lineRule="exact" w:line="600" w:after="0"/>
        <w:ind w:firstLine="420"/>
      </w:pPr>
      <w:r>
        <w:rPr>
          <w:rFonts w:ascii="仿宋_GB2312" w:hAnsi="仿宋_GB2312" w:eastAsia="仿宋_GB2312"/>
          <w:b w:val="0"/>
          <w:sz w:val="32"/>
        </w:rPr>
        <w:t>绿色制造改善人居环境，泰钢绿色洁净炼钢、分布式能源、智能工厂等模式减少排放，实现产业发展与生态保护的协同，高度契合黄河流域生态战略的内在要求，走出绿色发展新路子，生态环境效益与社会效益同步提升，绿色发展理念深入人心，碳达峰碳中和实践成效可圈可点，生态效益稳步显现，绿色底色更加鲜明。展望未来，在政策与市场共同作用下，相关领域有望迎来更高质量的发展。</w:t>
      </w:r>
    </w:p>
    <w:p>
      <w:pPr>
        <w:spacing w:lineRule="exact" w:line="600" w:after="0"/>
        <w:ind w:firstLine="420"/>
      </w:pPr>
      <w:r>
        <w:rPr>
          <w:rFonts w:ascii="仿宋_GB2312" w:hAnsi="仿宋_GB2312" w:eastAsia="仿宋_GB2312"/>
          <w:b w:val="0"/>
          <w:sz w:val="32"/>
        </w:rPr>
        <w:t>产业集聚丰富就业与创业场景，山东重工绿色智造产业城成为创新创业高地，带动区域生产与生活方式升级，增强了居民对特色产业的认同感与获得感，社会效益呈现明显的多元化特征，城乡融合发展的成色更足，产业集群成为提升群众生活品质的重要依托，社会发展成果普惠共享，民生福祉持续改善，群众获得感切实增强。应当看到，机遇与挑战并存，唯有主动作为方能巩固并扩大既有领先优势。</w:t>
      </w:r>
    </w:p>
    <w:p>
      <w:pPr>
        <w:spacing w:before="240" w:after="120" w:lineRule="exact" w:line="600"/>
      </w:pPr>
      <w:r>
        <w:rPr>
          <w:rFonts w:ascii="黑体" w:hAnsi="黑体" w:eastAsia="黑体"/>
          <w:b w:val="0"/>
          <w:sz w:val="32"/>
        </w:rPr>
        <w:t>十、发展路径与对策建议</w:t>
      </w:r>
    </w:p>
    <w:p>
      <w:pPr>
        <w:spacing w:before="120" w:after="120" w:lineRule="exact" w:line="600"/>
      </w:pPr>
      <w:r>
        <w:rPr>
          <w:rFonts w:ascii="楷体_GB2312" w:hAnsi="楷体_GB2312" w:eastAsia="楷体_GB2312"/>
          <w:b w:val="0"/>
          <w:sz w:val="32"/>
        </w:rPr>
        <w:t>（一）现存问题总结</w:t>
      </w:r>
    </w:p>
    <w:p>
      <w:pPr>
        <w:spacing w:lineRule="exact" w:line="600" w:after="0"/>
        <w:ind w:firstLine="420"/>
      </w:pPr>
      <w:r>
        <w:rPr>
          <w:rFonts w:ascii="仿宋_GB2312" w:hAnsi="仿宋_GB2312" w:eastAsia="仿宋_GB2312"/>
          <w:b w:val="0"/>
          <w:sz w:val="32"/>
        </w:rPr>
        <w:t>总结来看，集群现存问题集中在四方面：一是产业链两端薄弱，研发设计与系统集成能力不足；二是企业规模结构失衡，小微企业抗风险与技改能力弱；三是核心零部件与公共平台配套滞后；四是创新平台普惠性不足，协同创新效率不高，短板制约明显，需系统施策加以破解，方能行稳致远，实现高质量发展，迈上新台阶。实践说明，依托龙头带动与协同配套，可有效提升整体运行效率与抗风险韧性。</w:t>
      </w:r>
    </w:p>
    <w:p>
      <w:pPr>
        <w:spacing w:lineRule="exact" w:line="600" w:after="0"/>
        <w:ind w:firstLine="420"/>
      </w:pPr>
      <w:r>
        <w:rPr>
          <w:rFonts w:ascii="仿宋_GB2312" w:hAnsi="仿宋_GB2312" w:eastAsia="仿宋_GB2312"/>
          <w:b w:val="0"/>
          <w:sz w:val="32"/>
        </w:rPr>
        <w:t>从外部看，原材料价格波动、国际经贸壁垒、能耗双控构成持续挑战，需求端智能化迭代加快对产品升级提出更高要求，外部环境的不确定性明显上升，容不得半点松懈与侥幸，必须增强忧患意识与底线思维，未雨绸缪应对各类风险，以底线思维统筹发展与安全，筑牢发展根基，增强抗风险能力，守住生态与安全底线。需要强调的是，相关工作的系统性与协同性，直接关系集群升级的成败。</w:t>
      </w:r>
    </w:p>
    <w:p>
      <w:pPr>
        <w:spacing w:lineRule="exact" w:line="600" w:after="0"/>
        <w:ind w:firstLine="420"/>
      </w:pPr>
      <w:r>
        <w:rPr>
          <w:rFonts w:ascii="仿宋_GB2312" w:hAnsi="仿宋_GB2312" w:eastAsia="仿宋_GB2312"/>
          <w:b w:val="0"/>
          <w:sz w:val="32"/>
        </w:rPr>
        <w:t>总体判断，集群已具规模与特色优势，但向价值链高端攀升、向智能网联与新能源转型仍处于攻坚期，需以补链强链与创新驱动破解瓶颈，推动高质量发展行稳致远，迈上新台阶，在新一轮竞争中赢得主动，把特色优势转化为持久竞争优势，以转型升级重塑产业竞争力，赢得发展主动，实现由大到强的跨越。综合研判，集群已具备一定基础，下一步须在补链延链上取得实质性突破。</w:t>
      </w:r>
    </w:p>
    <w:p>
      <w:pPr>
        <w:spacing w:before="120" w:after="120" w:lineRule="exact" w:line="600"/>
      </w:pPr>
      <w:r>
        <w:rPr>
          <w:rFonts w:ascii="楷体_GB2312" w:hAnsi="楷体_GB2312" w:eastAsia="楷体_GB2312"/>
          <w:b w:val="0"/>
          <w:sz w:val="32"/>
        </w:rPr>
        <w:t>（二）补链强链延链方向</w:t>
      </w:r>
    </w:p>
    <w:p>
      <w:pPr>
        <w:spacing w:lineRule="exact" w:line="600" w:after="0"/>
        <w:ind w:firstLine="420"/>
      </w:pPr>
      <w:r>
        <w:rPr>
          <w:rFonts w:ascii="仿宋_GB2312" w:hAnsi="仿宋_GB2312" w:eastAsia="仿宋_GB2312"/>
          <w:b w:val="0"/>
          <w:sz w:val="32"/>
        </w:rPr>
        <w:t>补链应重点补齐核心零部件与公共检测中试短板，提升液压、电控、芯片等关键部件本地配套率，强化下游智能运维与系统集成保障能力，稳住产业发展的基本盘与民生底盘，畅通从材料到整机的链条，让优质产能转化为优质商品与稳定收益，以补链畅通产业循环，提升供应链韧性，保障核心部件安全，降低外部依赖。可以预见，随着要素保障逐步完善，集群发展动能将得到进一步释放与增强。</w:t>
      </w:r>
    </w:p>
    <w:p>
      <w:pPr>
        <w:spacing w:lineRule="exact" w:line="600" w:after="0"/>
        <w:ind w:firstLine="420"/>
      </w:pPr>
      <w:r>
        <w:rPr>
          <w:rFonts w:ascii="仿宋_GB2312" w:hAnsi="仿宋_GB2312" w:eastAsia="仿宋_GB2312"/>
          <w:b w:val="0"/>
          <w:sz w:val="32"/>
        </w:rPr>
        <w:t>强链应巩固重卡、智能叉车规模优势，提升智能网联重卡、新能源物流车、智能电力装备生产能力，推动龙头企业向系统集成与后服务延伸，牢牢占据品质高地，增强国际市场竞争力与行业话语权，巩固优势、扩大高端市场份额，把规模优势转化为质量与品牌优势，以强链提升价值链位势，做强特色优势。这对优化产业组织形态、增强发展韧性具有积极的现实支撑意义与长远价值。</w:t>
      </w:r>
    </w:p>
    <w:p>
      <w:pPr>
        <w:spacing w:lineRule="exact" w:line="600" w:after="0"/>
        <w:ind w:firstLine="420"/>
      </w:pPr>
      <w:r>
        <w:rPr>
          <w:rFonts w:ascii="仿宋_GB2312" w:hAnsi="仿宋_GB2312" w:eastAsia="仿宋_GB2312"/>
          <w:b w:val="0"/>
          <w:sz w:val="32"/>
        </w:rPr>
        <w:t>延链应发展智能运维、新能源储能与循环经济，依托龙头企业延伸服务场景，构建材料加工、智能制造、运维服务一体化价值链，拓展价值空间与全新的增长曲线，打开更广阔的发展空间，培育新引擎，推动集群从卖装备向卖服务升级，以延链打开价值新空间，塑造增长新动能，延伸价值捕获环节，提升整体附加值。从长远计，构建开放协同的创新生态，是破解瓶颈制约的关键着力点所在。</w:t>
      </w:r>
    </w:p>
    <w:p>
      <w:pPr>
        <w:spacing w:before="120" w:after="120" w:lineRule="exact" w:line="600"/>
      </w:pPr>
      <w:r>
        <w:rPr>
          <w:rFonts w:ascii="楷体_GB2312" w:hAnsi="楷体_GB2312" w:eastAsia="楷体_GB2312"/>
          <w:b w:val="0"/>
          <w:sz w:val="32"/>
        </w:rPr>
        <w:t>（三）企业培育建议</w:t>
      </w:r>
    </w:p>
    <w:p>
      <w:pPr>
        <w:spacing w:lineRule="exact" w:line="600" w:after="0"/>
        <w:ind w:firstLine="420"/>
      </w:pPr>
      <w:r>
        <w:rPr>
          <w:rFonts w:ascii="仿宋_GB2312" w:hAnsi="仿宋_GB2312" w:eastAsia="仿宋_GB2312"/>
          <w:b w:val="0"/>
          <w:sz w:val="32"/>
        </w:rPr>
        <w:t>实施龙头、专精特新双轮培育，壮大企业矩阵。支持山东重工、中国重汽等龙头开展跨国合作与品牌建设，同时遴选成长型企业申报省级专精特新，推动“小升规”，持续优化企业梯度结构与产业生态，打造更具竞争力的企业矩阵，形成大中小企业协同发展新格局，以梯队培育厚植企业根基，增强微观活力，提升整体能级。说明相关举措已初见成效，但要把成果做深做实，仍须常抓不懈、久久为功。</w:t>
      </w:r>
    </w:p>
    <w:p>
      <w:pPr>
        <w:spacing w:lineRule="exact" w:line="600" w:after="0"/>
        <w:ind w:firstLine="420"/>
      </w:pPr>
      <w:r>
        <w:rPr>
          <w:rFonts w:ascii="仿宋_GB2312" w:hAnsi="仿宋_GB2312" w:eastAsia="仿宋_GB2312"/>
          <w:b w:val="0"/>
          <w:sz w:val="32"/>
        </w:rPr>
        <w:t>强化企业孵化载体，发挥莱芜高新区与绿色智造产业城作用，为中小企业提供标准化厂房、资质辅导与订单对接，加速小微企业规范化升级与产能稳步释放，增强内生动力，厚植集群发展根基，让更多小微企业成长为支撑集群的中坚力量，以载体赋能企业成长，激活微观活力，夯实集群底座，提升抗风险能力。由此进一步印证，特色化、差异化的发展路径符合集群实际与自身比较优势。</w:t>
      </w:r>
    </w:p>
    <w:p>
      <w:pPr>
        <w:spacing w:lineRule="exact" w:line="600" w:after="0"/>
        <w:ind w:firstLine="420"/>
      </w:pPr>
      <w:r>
        <w:rPr>
          <w:rFonts w:ascii="仿宋_GB2312" w:hAnsi="仿宋_GB2312" w:eastAsia="仿宋_GB2312"/>
          <w:b w:val="0"/>
          <w:sz w:val="32"/>
        </w:rPr>
        <w:t>鼓励龙头企业开放供应链与技术，带动中小企业配套；建立利益联结机制，稳定原料基地并共享产业收益，提升整体组织化水平与抗风险能力，实现共同富裕，让产业发展红利惠及更多主体，构建利益共享、风险共担的产业共同体，以共同体凝聚发展合力，促进融通发展，增强协同效能，实现共建共享，提升配套水平。这对稳定经营主体预期、激发市场活力将发挥重要的牵引与保障作用。</w:t>
      </w:r>
    </w:p>
    <w:p>
      <w:pPr>
        <w:spacing w:before="120" w:after="120" w:lineRule="exact" w:line="600"/>
      </w:pPr>
      <w:r>
        <w:rPr>
          <w:rFonts w:ascii="楷体_GB2312" w:hAnsi="楷体_GB2312" w:eastAsia="楷体_GB2312"/>
          <w:b w:val="0"/>
          <w:sz w:val="32"/>
        </w:rPr>
        <w:t>（四）创新提升建议</w:t>
      </w:r>
    </w:p>
    <w:p>
      <w:pPr>
        <w:spacing w:lineRule="exact" w:line="600" w:after="0"/>
        <w:ind w:firstLine="420"/>
      </w:pPr>
      <w:r>
        <w:rPr>
          <w:rFonts w:ascii="仿宋_GB2312" w:hAnsi="仿宋_GB2312" w:eastAsia="仿宋_GB2312"/>
          <w:b w:val="0"/>
          <w:sz w:val="32"/>
        </w:rPr>
        <w:t>建强公共创新平台，依托莱芜高新区与市域产教联合体布局公共研发与中试中心，联合高校院所攻关智能网联、核心零部件等共性技术，弥补平台普惠短板，更好服务中小企业，补上关键短板，提升整体技术创新供给能力，让中小企业也能共享高端创新资源，以平台支撑创新普惠，缩小能力差距，提升整体技术水平，强化创新供给。需以底线思维统筹发展与安全，在变化中牢牢把握集群发展的战略主动。</w:t>
      </w:r>
    </w:p>
    <w:p>
      <w:pPr>
        <w:spacing w:lineRule="exact" w:line="600" w:after="0"/>
        <w:ind w:firstLine="420"/>
      </w:pPr>
      <w:r>
        <w:rPr>
          <w:rFonts w:ascii="仿宋_GB2312" w:hAnsi="仿宋_GB2312" w:eastAsia="仿宋_GB2312"/>
          <w:b w:val="0"/>
          <w:sz w:val="32"/>
        </w:rPr>
        <w:t>推动数字化转型，扩大产业互联网平台覆盖，建设高端装备行业工业互联网平台，实现生产、物流、运维全链路数据贯通，提升质量追溯与柔性供给能力，实现降本增效与韧性提升并举，以数字化重塑产业竞争力，让数据成为集群新的生产要素与增长动能，以数字赋能提质增效，提升协同效率，释放数智红利，提高响应速度。这也对营商环境与公共服务提出了更高要求，须持续用力、不断优化提升。</w:t>
      </w:r>
    </w:p>
    <w:p>
      <w:pPr>
        <w:spacing w:lineRule="exact" w:line="600" w:after="0"/>
        <w:ind w:firstLine="420"/>
      </w:pPr>
      <w:r>
        <w:rPr>
          <w:rFonts w:ascii="仿宋_GB2312" w:hAnsi="仿宋_GB2312" w:eastAsia="仿宋_GB2312"/>
          <w:b w:val="0"/>
          <w:sz w:val="32"/>
        </w:rPr>
        <w:t>引导研发投入向智能化、绿色化倾斜，支持企业开发智能网联重卡、新能源装备等新品，以产品创新提升价值链位置与出口溢价，增强核心竞争力与长期的市场话语权，以创新赢得未来，把创新摆在集群发展全局的核心位置，以创新引领产业升级，培育新质生产力，锻造技术壁垒，提升附加值与竞争力。总体判断，只要方向明确、举措得当，集群完全有能力迈上更高的发展能级。</w:t>
      </w:r>
    </w:p>
    <w:p>
      <w:pPr>
        <w:spacing w:before="120" w:after="120" w:lineRule="exact" w:line="600"/>
      </w:pPr>
      <w:r>
        <w:rPr>
          <w:rFonts w:ascii="楷体_GB2312" w:hAnsi="楷体_GB2312" w:eastAsia="楷体_GB2312"/>
          <w:b w:val="0"/>
          <w:sz w:val="32"/>
        </w:rPr>
        <w:t>（五）要素保障建议</w:t>
      </w:r>
    </w:p>
    <w:p>
      <w:pPr>
        <w:spacing w:lineRule="exact" w:line="600" w:after="0"/>
        <w:ind w:firstLine="420"/>
      </w:pPr>
      <w:r>
        <w:rPr>
          <w:rFonts w:ascii="仿宋_GB2312" w:hAnsi="仿宋_GB2312" w:eastAsia="仿宋_GB2312"/>
          <w:b w:val="0"/>
          <w:sz w:val="32"/>
        </w:rPr>
        <w:t>土地要素向绿色智造产业城、高端装备项目倾斜，保障整车与核心部件用地；探索弹性年期与标准厂房供给，降低中小企业扩张成本，切实提高土地利用效率与单位面积产出强度，让有限土地承载更高质量的发展，以集约用地支撑集群集约发展，以土地要素保障升级空间，提升集约水平，优化空间布局，提高产出强度与集约效益。此类探索为同类地区提供了可借鉴经验，其示范价值值得充分肯定与推广。</w:t>
      </w:r>
    </w:p>
    <w:p>
      <w:pPr>
        <w:spacing w:lineRule="exact" w:line="600" w:after="0"/>
        <w:ind w:firstLine="420"/>
      </w:pPr>
      <w:r>
        <w:rPr>
          <w:rFonts w:ascii="仿宋_GB2312" w:hAnsi="仿宋_GB2312" w:eastAsia="仿宋_GB2312"/>
          <w:b w:val="0"/>
          <w:sz w:val="32"/>
        </w:rPr>
        <w:t>资本要素延续金融管家机制，扩大普惠金融与信贷贴息，设立高端装备产业基金，重点支持绿色技改与数字化转型项目落地，撬动更多社会资本投入实体产业，壮大耐心资本，为产业升级提供源源不断的资金活水，缓解企业融资难、融资贵，以资本活水浇灌产业沃土，激活资本潜能，优化融资结构，提升资本效率。把规划蓝图变为现实成果，关键在于狠抓落实、强化督导并形成管理闭环。</w:t>
      </w:r>
    </w:p>
    <w:p>
      <w:pPr>
        <w:spacing w:lineRule="exact" w:line="600" w:after="0"/>
        <w:ind w:firstLine="420"/>
      </w:pPr>
      <w:r>
        <w:rPr>
          <w:rFonts w:ascii="仿宋_GB2312" w:hAnsi="仿宋_GB2312" w:eastAsia="仿宋_GB2312"/>
          <w:b w:val="0"/>
          <w:sz w:val="32"/>
        </w:rPr>
        <w:t>人才要素加强装备研发、系统集成与运维人才引进培育，完善技能培训体系，缓解高技能人才短缺，支撑集群向高附加值环节转型，夯实人才这一第一资源与根本竞争优势，以人才引领产业跃升，构建与集群升级相匹配的人才支撑体系，以人才动能驱动转型，筑牢人才根基，提升人力资本支撑，强化人才引育留用。相关经验若能在集群内有序复制推广，将显著放大整体发展的协同效应。</w:t>
      </w:r>
    </w:p>
    <w:p>
      <w:pPr>
        <w:spacing w:before="120" w:after="120" w:lineRule="exact" w:line="600"/>
      </w:pPr>
      <w:r>
        <w:rPr>
          <w:rFonts w:ascii="楷体_GB2312" w:hAnsi="楷体_GB2312" w:eastAsia="楷体_GB2312"/>
          <w:b w:val="0"/>
          <w:sz w:val="32"/>
        </w:rPr>
        <w:t>（六）政策优化建议</w:t>
      </w:r>
    </w:p>
    <w:p>
      <w:pPr>
        <w:spacing w:lineRule="exact" w:line="600" w:after="0"/>
        <w:ind w:firstLine="420"/>
      </w:pPr>
      <w:r>
        <w:rPr>
          <w:rFonts w:ascii="仿宋_GB2312" w:hAnsi="仿宋_GB2312" w:eastAsia="仿宋_GB2312"/>
          <w:b w:val="0"/>
          <w:sz w:val="32"/>
        </w:rPr>
        <w:t>强化顶层统筹，将高端装备纳入区域“十五五”重点产业链，制定专项行动计划，明确规模、品牌与出口目标，稳定政策预期，引导各类资源向集群高效集聚，形成政策合力，避免碎片化扶持导致资源分散，以系统思维谋划集群长远发展蓝图，以顶层设计引领发展方向，强化规划引领，凝聚政策合力，优化要素配置。这表明市场与政府同向发力，是提升产业能级与竞争力的有效实现路径。</w:t>
      </w:r>
    </w:p>
    <w:p>
      <w:pPr>
        <w:spacing w:lineRule="exact" w:line="600" w:after="0"/>
        <w:ind w:firstLine="420"/>
      </w:pPr>
      <w:r>
        <w:rPr>
          <w:rFonts w:ascii="仿宋_GB2312" w:hAnsi="仿宋_GB2312" w:eastAsia="仿宋_GB2312"/>
          <w:b w:val="0"/>
          <w:sz w:val="32"/>
        </w:rPr>
        <w:t>优化链长制服务，健全“链主”企业遴选与闭环机制，聚焦用地、通关、融资等共性难题，提升涉企服务响应效率与企业获得感，营造一流的市场化、法治化、国际化营商环境，让企业专心致志谋发展、搞创新，使营商环境成为集群核心竞争力的重要组成部分，以优良环境滋养市场主体，提升服务效能与响应速度。对中小企业而言，融入这一进程既是挑战，更是实现能级跃升的重要契机。</w:t>
      </w:r>
    </w:p>
    <w:p>
      <w:pPr>
        <w:spacing w:lineRule="exact" w:line="600" w:after="0"/>
        <w:ind w:firstLine="420"/>
      </w:pPr>
      <w:r>
        <w:rPr>
          <w:rFonts w:ascii="仿宋_GB2312" w:hAnsi="仿宋_GB2312" w:eastAsia="仿宋_GB2312"/>
          <w:b w:val="0"/>
          <w:sz w:val="32"/>
        </w:rPr>
        <w:t>培育区域公用品牌，整合中国重汽、正泰、泰莱等企业品牌，统一“莱芜高端装备”对外形象，借力展会与产业城提升全国市场认知与溢价能力，做强集群名片与区域标识，以品牌之力提升产业整体价值，让区域公用品牌成为集群走向全国、走向世界的通行证，以品牌增值提升竞争力，扩大国际国内影响。由此形成的良性循环，将为集群行稳致远提供坚实而持久的内在支撑。</w:t>
      </w:r>
    </w:p>
    <w:p>
      <w:pPr>
        <w:spacing w:before="240" w:after="120" w:lineRule="exact" w:line="600"/>
      </w:pPr>
      <w:r>
        <w:rPr>
          <w:rFonts w:ascii="黑体" w:hAnsi="黑体" w:eastAsia="黑体"/>
          <w:b w:val="0"/>
          <w:sz w:val="32"/>
        </w:rPr>
        <w:t>参考资料</w:t>
      </w:r>
    </w:p>
    <w:p>
      <w:pPr>
        <w:spacing w:lineRule="exact" w:line="600" w:after="0"/>
        <w:ind w:firstLine="0"/>
      </w:pPr>
      <w:r>
        <w:rPr>
          <w:rFonts w:ascii="仿宋_GB2312" w:hAnsi="仿宋_GB2312" w:eastAsia="仿宋_GB2312"/>
          <w:b w:val="0"/>
          <w:sz w:val="32"/>
        </w:rPr>
        <w:t>1. 莱芜高新区：莱芜高新区概况（智能制造与高端装备入选全国创新型产业集群试点、规上工业企业202家）http://www.laiwu.gov.cn/col88344/art/2025/art_88344_4787831.html</w:t>
      </w:r>
    </w:p>
    <w:p>
      <w:pPr>
        <w:spacing w:lineRule="exact" w:line="600" w:after="0"/>
        <w:ind w:firstLine="0"/>
      </w:pPr>
      <w:r>
        <w:rPr>
          <w:rFonts w:ascii="仿宋_GB2312" w:hAnsi="仿宋_GB2312" w:eastAsia="仿宋_GB2312"/>
          <w:b w:val="0"/>
          <w:sz w:val="32"/>
        </w:rPr>
        <w:t>2. 济南市工业和信息化局：莱芜区推动大中小企业融通发展 打造高端装备制造产业集群（规上94家、总产值超426亿元、中小企业174家）https://jnjxw.jinan.gov.cn/col12909/art/2024/art_12909_4783211.html</w:t>
      </w:r>
    </w:p>
    <w:p>
      <w:pPr>
        <w:spacing w:lineRule="exact" w:line="600" w:after="0"/>
        <w:ind w:firstLine="0"/>
      </w:pPr>
      <w:r>
        <w:rPr>
          <w:rFonts w:ascii="仿宋_GB2312" w:hAnsi="仿宋_GB2312" w:eastAsia="仿宋_GB2312"/>
          <w:b w:val="0"/>
          <w:sz w:val="32"/>
        </w:rPr>
        <w:t>3. 经济日报：济南市莱芜区一根线缆“牵起”年产值50亿元大产业（正泰电缆产值2亿增至28亿、和庄镇33家配套）https://www.jingjiribao.cn/static/detail.jsp?id=650591</w:t>
      </w:r>
    </w:p>
    <w:p>
      <w:pPr>
        <w:spacing w:lineRule="exact" w:line="600" w:after="0"/>
        <w:ind w:firstLine="0"/>
      </w:pPr>
      <w:r>
        <w:rPr>
          <w:rFonts w:ascii="仿宋_GB2312" w:hAnsi="仿宋_GB2312" w:eastAsia="仿宋_GB2312"/>
          <w:b w:val="0"/>
          <w:sz w:val="32"/>
        </w:rPr>
        <w:t>4. 齐鲁网：莱芜区全力推动工业经济高质量发展（2024工业总产值1307亿元、汽车产业链350亿元）https://news.iqilu.com/shandong/shandonggedi/20250813/5841161.shtml</w:t>
      </w:r>
    </w:p>
    <w:p>
      <w:pPr>
        <w:spacing w:lineRule="exact" w:line="600" w:after="0"/>
        <w:ind w:firstLine="0"/>
      </w:pPr>
      <w:r>
        <w:rPr>
          <w:rFonts w:ascii="仿宋_GB2312" w:hAnsi="仿宋_GB2312" w:eastAsia="仿宋_GB2312"/>
          <w:b w:val="0"/>
          <w:sz w:val="32"/>
        </w:rPr>
        <w:t>5. 莱芜区人民政府：三大主导产业之智能制造与高端装备（山东重工绿色智造产业城、2025产值力争千亿）http://www.laiwu.gov.cn/col35260/art/2023/art_35260_4803953.html</w:t>
      </w:r>
    </w:p>
    <w:p>
      <w:pPr>
        <w:spacing w:lineRule="exact" w:line="600" w:after="0"/>
        <w:ind w:firstLine="0"/>
      </w:pPr>
      <w:r>
        <w:rPr>
          <w:rFonts w:ascii="仿宋_GB2312" w:hAnsi="仿宋_GB2312" w:eastAsia="仿宋_GB2312"/>
          <w:b w:val="0"/>
          <w:sz w:val="32"/>
        </w:rPr>
        <w:t>6. 济南市投资促进局：山东重工（济南莱芜）绿色智造产业城（投资1535亿元、规划30.52平方公里、政策扶持）http://jntzcjj.jinan.gov.cn/cms_files/jcms1/web45/site/attach/0/31e806eb04594fd9824f40f79251862c.pdf</w:t>
      </w:r>
    </w:p>
    <w:p>
      <w:pPr>
        <w:spacing w:lineRule="exact" w:line="600" w:after="0"/>
        <w:ind w:firstLine="0"/>
      </w:pPr>
      <w:r>
        <w:rPr>
          <w:rFonts w:ascii="仿宋_GB2312" w:hAnsi="仿宋_GB2312" w:eastAsia="仿宋_GB2312"/>
          <w:b w:val="0"/>
          <w:sz w:val="32"/>
        </w:rPr>
        <w:t>7. 山东省工业和信息化厅：济南出台政策加快济莱融合 支持莱芜区钢城区发展（支持莱芜区钢城区14条）http://gxt.shandong.gov.cn/art/2019/12/16/art_15166_8348065.html</w:t>
      </w:r>
    </w:p>
    <w:p>
      <w:pPr>
        <w:spacing w:lineRule="exact" w:line="600" w:after="0"/>
        <w:ind w:firstLine="0"/>
      </w:pPr>
      <w:r>
        <w:rPr>
          <w:rFonts w:ascii="仿宋_GB2312" w:hAnsi="仿宋_GB2312" w:eastAsia="仿宋_GB2312"/>
          <w:b w:val="0"/>
          <w:sz w:val="32"/>
        </w:rPr>
        <w:t>8. 中国重汽：重组改革成就中国重汽二次创业（济南莱芜绿色智造产业城、研发投入37亿元）https://www.sinotruk.com/sinotruk/2023-10/26/article_2023102623481844681.html</w:t>
      </w:r>
    </w:p>
    <w:p>
      <w:pPr>
        <w:spacing w:lineRule="exact" w:line="600" w:after="0"/>
        <w:ind w:firstLine="0"/>
      </w:pPr>
      <w:r>
        <w:rPr>
          <w:rFonts w:ascii="仿宋_GB2312" w:hAnsi="仿宋_GB2312" w:eastAsia="仿宋_GB2312"/>
          <w:b w:val="0"/>
          <w:sz w:val="32"/>
        </w:rPr>
        <w:t>注：本报告部分数据为基于公开信息的整理和合理估算，具体精确数据以政府部门和统计机构官方发布为准。</w:t>
      </w:r>
    </w:p>
    <w:sectPr w:rsidR="00FC693F" w:rsidRPr="0006063C" w:rsidSect="00034616">
      <w:footerReference w:type="default" r:id="rId9"/>
      <w:pgSz w:w="12240" w:h="15840"/>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rFonts w:ascii="宋体" w:hAnsi="宋体" w:eastAsia="宋体"/>
        <w:b w:val="0"/>
        <w:sz w:val="28"/>
      </w:rPr>
      <w:t xml:space="preserve">— </w:t>
    </w:r>
    <w:r>
      <w:rPr>
        <w:rFonts w:ascii="Times New Roman" w:hAnsi="Times New Roman" w:eastAsia="宋体"/>
        <w:sz w:val="28"/>
      </w:rPr>
      <w:fldChar w:fldCharType="begin"/>
      <w:instrText xml:space="preserve">PAGE</w:instrText>
      <w:fldChar w:fldCharType="end"/>
    </w:r>
    <w:r>
      <w:rPr>
        <w:rFonts w:ascii="宋体" w:hAnsi="宋体" w:eastAsia="宋体"/>
        <w:b w:val="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