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济南市钢城区经济开发区粉末冶金特色产业集群发展研究报告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济南市钢城区经济开发区粉末冶金特色产业集群位于济南市钢城区，于2025年6月获批山东省特色产业集群（省级），是济南市10个有效期内省级特色产业集群之一。该定位为后续产业集聚与政策扶持明确了方向。上述属性特征有利于形成差异化竞争优势。该定位为后续产业集聚与政策扶持明确了方向。上述属性特征有利于形成差异化竞争优势。建议完善配套政策，引导资源向优势环节集聚。</w:t>
      </w:r>
    </w:p>
    <w:p>
      <w:pPr>
        <w:spacing w:lineRule="exact" w:line="600" w:after="0"/>
        <w:ind w:firstLine="420"/>
      </w:pPr>
      <w:r>
        <w:rPr>
          <w:rFonts w:ascii="仿宋_GB2312" w:hAnsi="仿宋_GB2312" w:eastAsia="仿宋_GB2312"/>
          <w:b w:val="0"/>
          <w:sz w:val="32"/>
        </w:rPr>
        <w:t>集群以钢铁粉末及制品为核心，依托钢城区钢铁原材料与先进工艺技术优势，被誉为中国粉末冶金之都，是亚洲最大的粉末冶金生产基地。该定位为后续产业集聚与政策扶持明确了方向。上述属性特征有利于形成差异化竞争优势。该定位为后续产业集聚与政策扶持明确了方向。上述属性特征有利于形成差异化竞争优势。建议完善配套政策，引导资源向优势环节集聚。</w:t>
      </w:r>
    </w:p>
    <w:p>
      <w:pPr>
        <w:spacing w:lineRule="exact" w:line="600" w:after="0"/>
        <w:ind w:firstLine="420"/>
      </w:pPr>
      <w:r>
        <w:rPr>
          <w:rFonts w:ascii="仿宋_GB2312" w:hAnsi="仿宋_GB2312" w:eastAsia="仿宋_GB2312"/>
          <w:b w:val="0"/>
          <w:sz w:val="32"/>
        </w:rPr>
        <w:t>该集群是济南市新材料产业的重要组成部分，与精密锻件、绿色建造等共同构成钢城先进制造体系，对区域产业升级具有重要支撑作用。该定位为后续产业集聚与政策扶持明确了方向。上述属性特征有利于形成差异化竞争优势。该定位为后续产业集聚与政策扶持明确了方向。上述属性特征有利于形成差异化竞争优势。建议完善配套政策，引导资源向优势环节集聚。</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钢城区政府发布会，集群现发展粉末冶金企业32家，年制粉能力30万吨、制品能力6.5万吨，形成集生产、研发、制品加工为一体的全链条体系。上述规模在省内同类型集群中居于前列。体量扩张的同时应同步关注增长质量。上述规模在省内同类型集群中居于前列。体量扩张的同时应同步关注增长质量。建议完善配套政策，引导资源向优势环节集聚。</w:t>
      </w:r>
    </w:p>
    <w:p>
      <w:pPr>
        <w:spacing w:lineRule="exact" w:line="600" w:after="0"/>
        <w:ind w:firstLine="420"/>
      </w:pPr>
      <w:r>
        <w:rPr>
          <w:rFonts w:ascii="仿宋_GB2312" w:hAnsi="仿宋_GB2312" w:eastAsia="仿宋_GB2312"/>
          <w:b w:val="0"/>
          <w:sz w:val="32"/>
        </w:rPr>
        <w:t>2025年上半年集群实现产值10.61亿元，同比增长20.8%，保持较快增长态势，制粉产量居全球第三、亚洲第一。上述规模在省内同类型集群中居于前列。体量扩张的同时应同步关注增长质量。上述规模在省内同类型集群中居于前列。体量扩张的同时应同步关注增长质量。建议完善配套政策，引导资源向优势环节集聚。区内企业应把握机遇，提升自身核心竞争力。</w:t>
      </w:r>
    </w:p>
    <w:p>
      <w:pPr>
        <w:spacing w:lineRule="exact" w:line="600" w:after="0"/>
        <w:ind w:firstLine="420"/>
      </w:pPr>
      <w:r>
        <w:rPr>
          <w:rFonts w:ascii="仿宋_GB2312" w:hAnsi="仿宋_GB2312" w:eastAsia="仿宋_GB2312"/>
          <w:b w:val="0"/>
          <w:sz w:val="32"/>
        </w:rPr>
        <w:t>从全省看，钢城区粉末冶金是省级特色产业集群中新材料领域的典型代表，已成为国内同行业有较大影响力的优势集聚区。上述规模在省内同类型集群中居于前列。体量扩张的同时应同步关注增长质量。上述规模在省内同类型集群中居于前列。体量扩张的同时应同步关注增长质量。建议完善配套政策，引导资源向优势环节集聚。区内企业应把握机遇，提升自身核心竞争力。</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为粉末冶金材料及制品，涵盖还原粉、雾化粉两大类30多个品种粉末及7大系列600多个品种制品。三大板块协同发力，构成了集群发展的主骨架。主导产业方向清晰，配套体系逐步完善。三大板块协同发力，构成了集群发展的主骨架。主导产业方向清晰，配套体系逐步完善。建议完善配套政策，引导资源向优势环节集聚。区内企业应把握机遇，提升自身核心竞争力。</w:t>
      </w:r>
    </w:p>
    <w:p>
      <w:pPr>
        <w:spacing w:lineRule="exact" w:line="600" w:after="0"/>
        <w:ind w:firstLine="420"/>
      </w:pPr>
      <w:r>
        <w:rPr>
          <w:rFonts w:ascii="仿宋_GB2312" w:hAnsi="仿宋_GB2312" w:eastAsia="仿宋_GB2312"/>
          <w:b w:val="0"/>
          <w:sz w:val="32"/>
        </w:rPr>
        <w:t>上游以钢铁粉末、特种合金粉末制备为主，中游为粉末冶金零部件成形，下游应用于汽车、机械、航空航天、新能源与电子等领域。三大板块协同发力，构成了集群发展的主骨架。主导产业方向清晰，配套体系逐步完善。三大板块协同发力，构成了集群发展的主骨架。主导产业方向清晰，配套体系逐步完善。建议完善配套政策，引导资源向优势环节集聚。区内企业应把握机遇，提升自身核心竞争力。</w:t>
      </w:r>
    </w:p>
    <w:p>
      <w:pPr>
        <w:spacing w:lineRule="exact" w:line="600" w:after="0"/>
        <w:ind w:firstLine="420"/>
      </w:pPr>
      <w:r>
        <w:rPr>
          <w:rFonts w:ascii="仿宋_GB2312" w:hAnsi="仿宋_GB2312" w:eastAsia="仿宋_GB2312"/>
          <w:b w:val="0"/>
          <w:sz w:val="32"/>
        </w:rPr>
        <w:t>三大板块中，制粉环节亚洲领先，制品环节向新能源汽车高精密零件延伸，构成集群差异化竞争的核心支撑。三大板块协同发力，构成了集群发展的主骨架。主导产业方向清晰，配套体系逐步完善。三大板块协同发力，构成了集群发展的主骨架。主导产业方向清晰，配套体系逐步完善。建议完善配套政策，引导资源向优势环节集聚。区内企业应把握机遇，提升自身核心竞争力。</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已形成原材料、制粉、制品的完整产业链，涵盖还原法、雾化法、旋转电极雾化等先进成熟制粉工艺。链条衔接总体顺畅，关键环节均有企业承载。各环节耦合度提升，降低了外部依赖。链条衔接总体顺畅，关键环节均有企业承载。各环节耦合度提升，降低了外部依赖。建议完善配套政策，引导资源向优势环节集聚。区内企业应把握机遇，提升自身核心竞争力。</w:t>
      </w:r>
    </w:p>
    <w:p>
      <w:pPr>
        <w:spacing w:lineRule="exact" w:line="600" w:after="0"/>
        <w:ind w:firstLine="420"/>
      </w:pPr>
      <w:r>
        <w:rPr>
          <w:rFonts w:ascii="仿宋_GB2312" w:hAnsi="仿宋_GB2312" w:eastAsia="仿宋_GB2312"/>
          <w:b w:val="0"/>
          <w:sz w:val="32"/>
        </w:rPr>
        <w:t>鲁银新材等制粉企业与新艺粉末等制品企业上下游联动，产品供给汽车零部件、机械制造等特色产业，本地配套紧密。链条衔接总体顺畅，关键环节均有企业承载。各环节耦合度提升，降低了外部依赖。链条衔接总体顺畅，关键环节均有企业承载。各环节耦合度提升，降低了外部依赖。建议完善配套政策，引导资源向优势环节集聚。区内企业应把握机遇，提升自身核心竞争力。</w:t>
      </w:r>
    </w:p>
    <w:p>
      <w:pPr>
        <w:spacing w:lineRule="exact" w:line="600" w:after="0"/>
        <w:ind w:firstLine="420"/>
      </w:pPr>
      <w:r>
        <w:rPr>
          <w:rFonts w:ascii="仿宋_GB2312" w:hAnsi="仿宋_GB2312" w:eastAsia="仿宋_GB2312"/>
          <w:b w:val="0"/>
          <w:sz w:val="32"/>
        </w:rPr>
        <w:t>产业链在研发、制粉、成形、后处理环节均有企业承载，整体耦合度较高，具备较强的内部配套与协同能力。链条衔接总体顺畅，关键环节均有企业承载。各环节耦合度提升，降低了外部依赖。链条衔接总体顺畅，关键环节均有企业承载。各环节耦合度提升，降低了外部依赖。建议完善配套政策，引导资源向优势环节集聚。区内企业应把握机遇，提升自身核心竞争力。</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与国外一流粉末冶金企业相比，集群在高端合金粉末、3D打印粉等前沿品种的自给与稳定性上仍有提升空间。短板的存在制约了整体附加值的进一步提升。补齐缺口将成为下一阶段重点工作。短板的存在制约了整体附加值的进一步提升。补齐缺口将成为下一阶段重点工作。建议完善配套政策，引导资源向优势环节集聚。区内企业应把握机遇，提升自身核心竞争力。</w:t>
      </w:r>
    </w:p>
    <w:p>
      <w:pPr>
        <w:spacing w:lineRule="exact" w:line="600" w:after="0"/>
        <w:ind w:firstLine="420"/>
      </w:pPr>
      <w:r>
        <w:rPr>
          <w:rFonts w:ascii="仿宋_GB2312" w:hAnsi="仿宋_GB2312" w:eastAsia="仿宋_GB2312"/>
          <w:b w:val="0"/>
          <w:sz w:val="32"/>
        </w:rPr>
        <w:t>部分高端制品仍依赖进口设备或工艺，基础研究与原创性工艺储备相对薄弱，关键装备自主化有待加强。短板的存在制约了整体附加值的进一步提升。补齐缺口将成为下一阶段重点工作。短板的存在制约了整体附加值的进一步提升。补齐缺口将成为下一阶段重点工作。建议完善配套政策，引导资源向优势环节集聚。区内企业应把握机遇，提升自身核心竞争力。</w:t>
      </w:r>
    </w:p>
    <w:p>
      <w:pPr>
        <w:spacing w:lineRule="exact" w:line="600" w:after="0"/>
        <w:ind w:firstLine="420"/>
      </w:pPr>
      <w:r>
        <w:rPr>
          <w:rFonts w:ascii="仿宋_GB2312" w:hAnsi="仿宋_GB2312" w:eastAsia="仿宋_GB2312"/>
          <w:b w:val="0"/>
          <w:sz w:val="32"/>
        </w:rPr>
        <w:t>产业链虽已成形，但中小企业制品能级不均，部分环节附加值偏低，向终端高价值应用的延伸仍需加强。短板的存在制约了整体附加值的进一步提升。补齐缺口将成为下一阶段重点工作。短板的存在制约了整体附加值的进一步提升。补齐缺口将成为下一阶段重点工作。建议完善配套政策，引导资源向优势环节集聚。区内企业应把握机遇，提升自身核心竞争力。</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正由基础铁粉向高附加值特种合金粉、软磁粉、锂电粉攀升，鲁银超纯锂电粉、MIM粉末等实现进口替代。集群正由加工制造向高附加值环节稳步攀升。价值捕获能力增强，盈利空间拓宽。集群正由加工制造向高附加值环节稳步攀升。价值捕获能力增强，盈利空间拓宽。建议完善配套政策，引导资源向优势环节集聚。区内企业应把握机遇，提升自身核心竞争力。</w:t>
      </w:r>
    </w:p>
    <w:p>
      <w:pPr>
        <w:spacing w:lineRule="exact" w:line="600" w:after="0"/>
        <w:ind w:firstLine="420"/>
      </w:pPr>
      <w:r>
        <w:rPr>
          <w:rFonts w:ascii="仿宋_GB2312" w:hAnsi="仿宋_GB2312" w:eastAsia="仿宋_GB2312"/>
          <w:b w:val="0"/>
          <w:sz w:val="32"/>
        </w:rPr>
        <w:t>高熵涂层材料、高端软磁材料等前沿产品切入新能源、光伏、AI服务器赛道，价值捕获能力显著增强。集群正由加工制造向高附加值环节稳步攀升。价值捕获能力增强，盈利空间拓宽。集群正由加工制造向高附加值环节稳步攀升。价值捕获能力增强，盈利空间拓宽。建议完善配套政策，引导资源向优势环节集聚。区内企业应把握机遇，提升自身核心竞争力。</w:t>
      </w:r>
    </w:p>
    <w:p>
      <w:pPr>
        <w:spacing w:lineRule="exact" w:line="600" w:after="0"/>
        <w:ind w:firstLine="420"/>
      </w:pPr>
      <w:r>
        <w:rPr>
          <w:rFonts w:ascii="仿宋_GB2312" w:hAnsi="仿宋_GB2312" w:eastAsia="仿宋_GB2312"/>
          <w:b w:val="0"/>
          <w:sz w:val="32"/>
        </w:rPr>
        <w:t>随着研发投入加码与成果转化，集群盈利空间从单一原料粉向功能粉体、精密零件延伸，价值链位势稳步上移。集群正由加工制造向高附加值环节稳步攀升。价值捕获能力增强，盈利空间拓宽。集群正由加工制造向高附加值环节稳步攀升。价值捕获能力增强，盈利空间拓宽。建议完善配套政策，引导资源向优势环节集聚。区内企业应把握机遇，提升自身核心竞争力。</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形成链主牵引、分工协作格局：鲁银主攻钢铁粉末与特种合金粉，新艺主攻精密制品，鲁欣主攻超纯铁精粉与还原粉。分工协作格局初步形成，降低了内部交易成本。错位分工有助于避免同质化竞争。分工协作格局初步形成，降低了内部交易成本。错位分工有助于避免同质化竞争。建议完善配套政策，引导资源向优势环节集聚。区内企业应把握机遇，提升自身核心竞争力。</w:t>
      </w:r>
    </w:p>
    <w:p>
      <w:pPr>
        <w:spacing w:lineRule="exact" w:line="600" w:after="0"/>
        <w:ind w:firstLine="420"/>
      </w:pPr>
      <w:r>
        <w:rPr>
          <w:rFonts w:ascii="仿宋_GB2312" w:hAnsi="仿宋_GB2312" w:eastAsia="仿宋_GB2312"/>
          <w:b w:val="0"/>
          <w:sz w:val="32"/>
        </w:rPr>
        <w:t>大企业与中小企业错位发展，龙头企业专注粉体核心技术，配套企业深耕制品与下游应用，降低了内部同质化竞争。分工协作格局初步形成，降低了内部交易成本。错位分工有助于避免同质化竞争。分工协作格局初步形成，降低了内部交易成本。错位分工有助于避免同质化竞争。建议完善配套政策，引导资源向优势环节集聚。区内企业应把握机遇，提升自身核心竞争力。</w:t>
      </w:r>
    </w:p>
    <w:p>
      <w:pPr>
        <w:spacing w:lineRule="exact" w:line="600" w:after="0"/>
        <w:ind w:firstLine="420"/>
      </w:pPr>
      <w:r>
        <w:rPr>
          <w:rFonts w:ascii="仿宋_GB2312" w:hAnsi="仿宋_GB2312" w:eastAsia="仿宋_GB2312"/>
          <w:b w:val="0"/>
          <w:sz w:val="32"/>
        </w:rPr>
        <w:t>通过链主带动与产学研协同，企业间形成紧密产业共同体，推动产业从量的积累迈向质的飞跃。分工协作格局初步形成，降低了内部交易成本。错位分工有助于避免同质化竞争。分工协作格局初步形成，降低了内部交易成本。错位分工有助于避免同质化竞争。建议完善配套政策，引导资源向优势环节集聚。区内企业应把握机遇，提升自身核心竞争力。从长远看，应注重创新驱动与绿色转型并重。</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现有粉末冶金企业32家，呈现龙头引领、梯次配套格局；鲁银新材为链主，带动一批专精特新与制品配套企业。大中小企业梯次分布，结构渐趋合理。规模结构优化增强了抗周期能力。大中小企业梯次分布，结构渐趋合理。规模结构优化增强了抗周期能力。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以鲁银新材料为代表的龙头在产能、研发、市场上占据主导，国家级与省级专精特新企业构成中坚力量。大中小企业梯次分布，结构渐趋合理。规模结构优化增强了抗周期能力。大中小企业梯次分布，结构渐趋合理。规模结构优化增强了抗周期能力。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大中小企业梯次分布、结构渐趋合理，规模结构的优化增强了集群整体抗周期能力与产业链韧性。大中小企业梯次分布，结构渐趋合理。规模结构优化增强了抗周期能力。大中小企业梯次分布，结构渐趋合理。规模结构优化增强了抗周期能力。建议完善配套政策，引导资源向优势环节集聚。区内企业应把握机遇，提升自身核心竞争力。从长远看，应注重创新驱动与绿色转型并重。</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产权多元，鲁银新材料为鲁银投资集团（股票代码600784）子公司，国有控股背景带来稳定资源与治理优势。多元产权并存，激发了市场主体活力。混合所有制改革进一步盘活了存量资源。多元产权并存，激发了市场主体活力。混合所有制改革进一步盘活了存量资源。建议完善配套政策，引导资源向优势环节集聚。区内企业应把握机遇，提升自身核心竞争力。</w:t>
      </w:r>
    </w:p>
    <w:p>
      <w:pPr>
        <w:spacing w:lineRule="exact" w:line="600" w:after="0"/>
        <w:ind w:firstLine="420"/>
      </w:pPr>
      <w:r>
        <w:rPr>
          <w:rFonts w:ascii="仿宋_GB2312" w:hAnsi="仿宋_GB2312" w:eastAsia="仿宋_GB2312"/>
          <w:b w:val="0"/>
          <w:sz w:val="32"/>
        </w:rPr>
        <w:t>新艺粉末等民营与混合所有制企业活跃，市场化程度高，外资客户（椿本、博格华纳等）合作带来国际渠道。多元产权并存，激发了市场主体活力。混合所有制改革进一步盘活了存量资源。多元产权并存，激发了市场主体活力。混合所有制改革进一步盘活了存量资源。建议完善配套政策，引导资源向优势环节集聚。区内企业应把握机遇，提升自身核心竞争力。</w:t>
      </w:r>
    </w:p>
    <w:p>
      <w:pPr>
        <w:spacing w:lineRule="exact" w:line="600" w:after="0"/>
        <w:ind w:firstLine="420"/>
      </w:pPr>
      <w:r>
        <w:rPr>
          <w:rFonts w:ascii="仿宋_GB2312" w:hAnsi="仿宋_GB2312" w:eastAsia="仿宋_GB2312"/>
          <w:b w:val="0"/>
          <w:sz w:val="32"/>
        </w:rPr>
        <w:t>多元产权并存激发了市场主体活力，国有与民营资本协同进一步盘活了存量资源、优化了要素配置。多元产权并存，激发了市场主体活力。混合所有制改革进一步盘活了存量资源。多元产权并存，激发了市场主体活力。混合所有制改革进一步盘活了存量资源。建议完善配套政策，引导资源向优势环节集聚。区内企业应把握机遇，提升自身核心竞争力。从长远看，应注重创新驱动与绿色转型并重。</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山东鲁银新材料科技有限公司是亚洲唯一拥有还原、雾化、特种合金三条粉末生产线的企业，制粉产量亚洲第一、世界第三。龙头企业的带动效应正持续显现。头部企业的技术外溢带动了配套升级。龙头企业的带动效应正持续显现。头部企业的技术外溢带动了配套升级。建议完善配套政策，引导资源向优势环节集聚。区内企业应把握机遇，提升自身核心竞争力。</w:t>
      </w:r>
    </w:p>
    <w:p>
      <w:pPr>
        <w:spacing w:lineRule="exact" w:line="600" w:after="0"/>
        <w:ind w:firstLine="420"/>
      </w:pPr>
      <w:r>
        <w:rPr>
          <w:rFonts w:ascii="仿宋_GB2312" w:hAnsi="仿宋_GB2312" w:eastAsia="仿宋_GB2312"/>
          <w:b w:val="0"/>
          <w:sz w:val="32"/>
        </w:rPr>
        <w:t>鲁银为国家级制造业单项冠军、国家级专精特新小巨人，国内市场占有率30%以上，产品出口欧日韩印泰等国家和地区。龙头企业的带动效应正持续显现。头部企业的技术外溢带动了配套升级。龙头企业的带动效应正持续显现。头部企业的技术外溢带动了配套升级。建议完善配套政策，引导资源向优势环节集聚。区内企业应把握机遇，提升自身核心竞争力。</w:t>
      </w:r>
    </w:p>
    <w:p>
      <w:pPr>
        <w:spacing w:lineRule="exact" w:line="600" w:after="0"/>
        <w:ind w:firstLine="420"/>
      </w:pPr>
      <w:r>
        <w:rPr>
          <w:rFonts w:ascii="仿宋_GB2312" w:hAnsi="仿宋_GB2312" w:eastAsia="仿宋_GB2312"/>
          <w:b w:val="0"/>
          <w:sz w:val="32"/>
        </w:rPr>
        <w:t>新艺粉末（济南新艺粉末冶金）为国家级专精特新小巨人，产品供应比亚迪、吉利、大众等车企，2024年12月被鲁银收购。龙头企业的带动效应正持续显现。头部企业的技术外溢带动了配套升级。龙头企业的带动效应正持续显现。头部企业的技术外溢带动了配套升级。建议完善配套政策，引导资源向优势环节集聚。区内企业应把握机遇，提升自身核心竞争力。</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企业沿制粉、制品、应用主线在钢城经济开发区集聚，规划占地1000亩的粉体新材料产业园强化空间集中。空间集聚降低了配套半径，提升了响应速度。集聚红利向效率与成本两端集中释放。空间集聚降低了配套半径，提升了响应速度。集聚红利向效率与成本两端集中释放。建议完善配套政策，引导资源向优势环节集聚。区内企业应把握机遇，提升自身核心竞争力。</w:t>
      </w:r>
    </w:p>
    <w:p>
      <w:pPr>
        <w:spacing w:lineRule="exact" w:line="600" w:after="0"/>
        <w:ind w:firstLine="420"/>
      </w:pPr>
      <w:r>
        <w:rPr>
          <w:rFonts w:ascii="仿宋_GB2312" w:hAnsi="仿宋_GB2312" w:eastAsia="仿宋_GB2312"/>
          <w:b w:val="0"/>
          <w:sz w:val="32"/>
        </w:rPr>
        <w:t>集聚红利向效率与成本两端集中释放，链主与配套企业协同升级，形成攥指成拳的集群效应。空间集聚降低了配套半径，提升了响应速度。集聚红利向效率与成本两端集中释放。空间集聚降低了配套半径，提升了响应速度。集聚红利向效率与成本两端集中释放。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龙头企业带动配套企业协同升级，传统产业通过智造突围，实现从汗水驱动向智慧驱动的绿色转型。空间集聚降低了配套半径，提升了响应速度。集聚红利向效率与成本两端集中释放。空间集聚降低了配套半径，提升了响应速度。集聚红利向效率与成本两端集中释放。建议完善配套政策，引导资源向优势环节集聚。区内企业应把握机遇，提升自身核心竞争力。</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鲁银新材料常年保持3.7%以上研发投入强度，2026年牵头新型高熵涂层材料研制入选山东省重点研发计划重大科技创新工程。研发投入的稳定增长为创新提供了支撑。研发强度提升是迈向中高端的关键。研发投入的稳定增长为创新提供了支撑。研发强度提升是迈向中高端的关键。建议完善配套政策，引导资源向优势环节集聚。区内企业应把握机遇，提升自身核心竞争力。</w:t>
      </w:r>
    </w:p>
    <w:p>
      <w:pPr>
        <w:spacing w:lineRule="exact" w:line="600" w:after="0"/>
        <w:ind w:firstLine="420"/>
      </w:pPr>
      <w:r>
        <w:rPr>
          <w:rFonts w:ascii="仿宋_GB2312" w:hAnsi="仿宋_GB2312" w:eastAsia="仿宋_GB2312"/>
          <w:b w:val="0"/>
          <w:sz w:val="32"/>
        </w:rPr>
        <w:t>集群引导企业加大研发投入，深化产学研用结合，与中南大学、东北大学、北京科技大学等开展合作。研发投入的稳定增长为创新提供了支撑。研发强度提升是迈向中高端的关键。研发投入的稳定增长为创新提供了支撑。研发强度提升是迈向中高端的关键。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研发投入的稳定增长为创新提供了支撑，研发强度提升是集群迈向中高端、突破关键技术的重要抓手。研发投入的稳定增长为创新提供了支撑。研发强度提升是迈向中高端的关键。研发投入的稳定增长为创新提供了支撑。研发强度提升是迈向中高端的关键。建议完善配套政策，引导资源向优势环节集聚。区内企业应把握机遇，提升自身核心竞争力。从长远看，应注重创新驱动与绿色转型并重。</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近两年来鲁银新材累计申报专利27项、授权发明专利23项，主导参与制定行业及团体标准6项，守住核心技术话语权。专利与新产品产出保持平稳增长态势。创新成果正加速转化为现实生产力。专利与新产品产出保持平稳增长态势。创新成果正加速转化为现实生产力。建议完善配套政策，引导资源向优势环节集聚。区内企业应把握机遇，提升自身核心竞争力。</w:t>
      </w:r>
    </w:p>
    <w:p>
      <w:pPr>
        <w:spacing w:lineRule="exact" w:line="600" w:after="0"/>
        <w:ind w:firstLine="420"/>
      </w:pPr>
      <w:r>
        <w:rPr>
          <w:rFonts w:ascii="仿宋_GB2312" w:hAnsi="仿宋_GB2312" w:eastAsia="仿宋_GB2312"/>
          <w:b w:val="0"/>
          <w:sz w:val="32"/>
        </w:rPr>
        <w:t>鲁银研发的超纯锂电粉、MIM精密成形粉末、铁硅系软磁合金粉性能国内领先，顺利实现进口替代。专利与新产品产出保持平稳增长态势。创新成果正加速转化为现实生产力。专利与新产品产出保持平稳增长态势。创新成果正加速转化为现实生产力。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专利与新产品产出保持平稳增长，高端粉体成果正加速转化为现实生产力，切入新兴产业赛道。专利与新产品产出保持平稳增长态势。创新成果正加速转化为现实生产力。专利与新产品产出保持平稳增长态势。创新成果正加速转化为现实生产力。建议完善配套政策，引导资源向优势环节集聚。区内企业应把握机遇，提升自身核心竞争力。从长远看，应注重创新驱动与绿色转型并重。</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拥有国家级博士后科研工作站、山东省粉末冶金重点实验室、中南大学鲁银金属粉末材料产业创新中心等平台。平台载体集聚了人才与设备等关键资源。平台能级提升强化了共性技术供给。平台载体集聚了人才与设备等关键资源。平台能级提升强化了共性技术供给。建议完善配套政策，引导资源向优势环节集聚。区内企业应把握机遇，提升自身核心竞争力。</w:t>
      </w:r>
    </w:p>
    <w:p>
      <w:pPr>
        <w:spacing w:lineRule="exact" w:line="600" w:after="0"/>
        <w:ind w:firstLine="420"/>
      </w:pPr>
      <w:r>
        <w:rPr>
          <w:rFonts w:ascii="仿宋_GB2312" w:hAnsi="仿宋_GB2312" w:eastAsia="仿宋_GB2312"/>
          <w:b w:val="0"/>
          <w:sz w:val="32"/>
        </w:rPr>
        <w:t>钢城区与高校院所共建研发平台31家，牵头或参与制定国家、行业及团体标准12项，创新载体丰富。平台载体集聚了人才与设备等关键资源。平台能级提升强化了共性技术供给。平台载体集聚了人才与设备等关键资源。平台能级提升强化了共性技术供给。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平台能级提升强化了共性技术供给，产学研协同推动企业在细分领域做到极致，增强了技术外溢能力。平台载体集聚了人才与设备等关键资源。平台能级提升强化了共性技术供给。平台载体集聚了人才与设备等关键资源。平台能级提升强化了共性技术供给。建议完善配套政策，引导资源向优势环节集聚。区内企业应把握机遇，提升自身核心竞争力。从长远看，应注重创新驱动与绿色转型并重。</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鲁银5G加粉末冶金数字化工厂入选工信部5G工厂典型案例，生产线数字化改造提升效率、降低单位能耗。成果转化通道逐步畅通，产业化提速。中试与工程化能力增强，转化率提高。成果转化通道逐步畅通，产业化提速。中试与工程化能力增强，转化率提高。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鲁欣粉磁项目利用东北大学超纯铁精粉提纯工艺，生产锂电正极与粉末冶金用高性能还原粉，2024年底试运行。成果转化通道逐步畅通，产业化提速。中试与工程化能力增强，转化率提高。成果转化通道逐步畅通，产业化提速。中试与工程化能力增强，转化率提高。建议完善配套政策，引导资源向优势环节集聚。区内企业应把握机遇，提升自身核心竞争力。</w:t>
      </w:r>
    </w:p>
    <w:p>
      <w:pPr>
        <w:spacing w:lineRule="exact" w:line="600" w:after="0"/>
        <w:ind w:firstLine="420"/>
      </w:pPr>
      <w:r>
        <w:rPr>
          <w:rFonts w:ascii="仿宋_GB2312" w:hAnsi="仿宋_GB2312" w:eastAsia="仿宋_GB2312"/>
          <w:b w:val="0"/>
          <w:sz w:val="32"/>
        </w:rPr>
        <w:t>成果转化通道逐步畅通、产业化提速，关键核心技术从实验室走向产线，显著增强了高端产品竞争力。成果转化通道逐步畅通，产业化提速。中试与工程化能力增强，转化率提高。成果转化通道逐步畅通，产业化提速。中试与工程化能力增强，转化率提高。建议完善配套政策，引导资源向优势环节集聚。区内企业应把握机遇，提升自身核心竞争力。从长远看，应注重创新驱动与绿色转型并重。</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覆盖研发、智造、检测等环节，对高技能人才需求旺盛，劳动力技能结构随智能化改造持续优化。劳动力供给总体充裕，技能结构持续优化。职业培训扩容缓解了结构性用工矛盾。劳动力供给总体充裕，技能结构持续优化。职业培训扩容缓解了结构性用工矛盾。建议完善配套政策，引导资源向优势环节集聚。区内企业应把握机遇，提升自身核心竞争力。</w:t>
      </w:r>
    </w:p>
    <w:p>
      <w:pPr>
        <w:spacing w:lineRule="exact" w:line="600" w:after="0"/>
        <w:ind w:firstLine="420"/>
      </w:pPr>
      <w:r>
        <w:rPr>
          <w:rFonts w:ascii="仿宋_GB2312" w:hAnsi="仿宋_GB2312" w:eastAsia="仿宋_GB2312"/>
          <w:b w:val="0"/>
          <w:sz w:val="32"/>
        </w:rPr>
        <w:t>钢城区通过产业人才战略联盟与高校合作，为企业提供用工与智力保障，缓解了结构性用工矛盾。劳动力供给总体充裕，技能结构持续优化。职业培训扩容缓解了结构性用工矛盾。劳动力供给总体充裕，技能结构持续优化。职业培训扩容缓解了结构性用工矛盾。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龙头企业以自动化、数字化产线降低对普通劳动力依赖，同时对研发与工艺人才需求上升，倒逼用工结构升级。劳动力供给总体充裕，技能结构持续优化。职业培训扩容缓解了结构性用工矛盾。劳动力供给总体充裕，技能结构持续优化。职业培训扩容缓解了结构性用工矛盾。建议完善配套政策，引导资源向优势环节集聚。区内企业应把握机遇，提升自身核心竞争力。</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鲁银新材借助鲁银投资集团资本平台，鲁欣粉磁项目总投资10.5亿元、一期6亿元，资本保障能力强。融资渠道趋于多元，资本要素保障增强。产融结合深化降低了企业资金成本。融资渠道趋于多元，资本要素保障增强。产融结合深化降低了企业资金成本。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融资渠道趋于多元，在谈招商项目14个、计划总投资39.6亿元，产融结合深化降低了资金成本。融资渠道趋于多元，资本要素保障增强。产融结合深化降低了企业资金成本。融资渠道趋于多元，资本要素保障增强。产融结合深化降低了企业资金成本。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资本要素保障增强，但中小企业技改资金仍显紧张，需进一步拓宽融资担保与产业基金等多元化渠道。融资渠道趋于多元，资本要素保障增强。产融结合深化降低了企业资金成本。融资渠道趋于多元，资本要素保障增强。产融结合深化降低了企业资金成本。建议完善配套政策，引导资源向优势环节集聚。区内企业应把握机遇，提升自身核心竞争力。从长远看，应注重创新驱动与绿色转型并重。</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粉体新材料产业园占地1000亩，鲁欣项目占地299亩、投资强度351万元每畝，集约用地特征明显。集约用地与节能降耗成为发展硬约束。绿色化改造是破解能耗约束的必由路径。集约用地与节能降耗成为发展硬约束。绿色化改造是破解能耗约束的必由路径。建议完善配套政策，引导资源向优势环节集聚。区内企业应把握机遇，提升自身核心竞争力。</w:t>
      </w:r>
    </w:p>
    <w:p>
      <w:pPr>
        <w:spacing w:lineRule="exact" w:line="600" w:after="0"/>
        <w:ind w:firstLine="420"/>
      </w:pPr>
      <w:r>
        <w:rPr>
          <w:rFonts w:ascii="仿宋_GB2312" w:hAnsi="仿宋_GB2312" w:eastAsia="仿宋_GB2312"/>
          <w:b w:val="0"/>
          <w:sz w:val="32"/>
        </w:rPr>
        <w:t>集群深化绿色制造，金山矿业将固废转化为单晶体纤维实现全链闭环，单位产品能耗持续降低。集约用地与节能降耗成为发展硬约束。绿色化改造是破解能耗约束的必由路径。集约用地与节能降耗成为发展硬约束。绿色化改造是破解能耗约束的必由路径。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绿色化改造是破解能耗约束的必由路径，数字化工厂与循环经济天然契合绿色低碳发展方向。集约用地与节能降耗成为发展硬约束。绿色化改造是破解能耗约束的必由路径。集约用地与节能降耗成为发展硬约束。绿色化改造是破解能耗约束的必由路径。建议完善配套政策，引导资源向优势环节集聚。区内企业应把握机遇，提升自身核心竞争力。从长远看，应注重创新驱动与绿色转型并重。</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依托钢城区钢铁原材料优势，氧化铁皮等可转化为钢铁粉末，原料本地供给保障性强。原料资源的稳定供给是产能释放的前提。资源循环利用缓解了外部价格波动影响。原料资源的稳定供给是产能释放的前提。资源循环利用缓解了外部价格波动影响。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鲁银以超纯铁精粉为原料生产高端还原粉，金山矿业固废资源化利用，缓解了外部资源约束。原料资源的稳定供给是产能释放的前提。资源循环利用缓解了外部价格波动影响。原料资源的稳定供给是产能释放的前提。资源循环利用缓解了外部价格波动影响。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资源循环利用与绿色工艺缓解了外部资源约束，增强了供应链韧性。原料资源的稳定供给是产能释放的前提。资源循环利用缓解了外部价格波动影响。原料资源的稳定供给是产能释放的前提。资源循环利用缓解了外部价格波动影响。建议完善配套政策，引导资源向优势环节集聚。区内企业应把握机遇，提升自身核心竞争力。从长远看，应注重创新驱动与绿色转型并重。</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鲁银新材国内市占率稳定在30%以上，新艺粉末产品供应比亚迪、吉利、大众等，国内配套基础扎实。国内市场份额稳步扩大，渠道不断下沉。内需扩容为集群提供了稳定基本盘。国内市场份额稳步扩大，渠道不断下沉。内需扩容为集群提供了稳定基本盘。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粉末冶金零件广泛应用于汽车、机械、家电、航空航天，国内新能源汽车与高端装备需求拉动明显。国内市场份额稳步扩大，渠道不断下沉。内需扩容为集群提供了稳定基本盘。国内市场份额稳步扩大，渠道不断下沉。内需扩容为集群提供了稳定基本盘。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国内市场份额稳步扩大、渠道不断下沉，内需扩容为集群提供了稳定的基本盘与产能消化空间。国内市场份额稳步扩大，渠道不断下沉。内需扩容为集群提供了稳定基本盘。国内市场份额稳步扩大，渠道不断下沉。内需扩容为集群提供了稳定基本盘。建议完善配套政策，引导资源向优势环节集聚。区内企业应把握机遇，提升自身核心竞争力。从长远看，应注重创新驱动与绿色转型并重。</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鲁银新材产品出口欧洲、日本、韩国、印度、泰国等国家和地区，2024年1至4月金属粉末销量同比增幅35%。出口市场多元拓展，抗风险能力增强。跨境电商等新业态打开了增量空间。出口市场多元拓展，抗风险能力增强。跨境电商等新业态打开了增量空间。建议完善配套政策，引导资源向优势环节集聚。区内企业应把握机遇，提升自身核心竞争力。</w:t>
      </w:r>
    </w:p>
    <w:p>
      <w:pPr>
        <w:spacing w:lineRule="exact" w:line="600" w:after="0"/>
        <w:ind w:firstLine="420"/>
      </w:pPr>
      <w:r>
        <w:rPr>
          <w:rFonts w:ascii="仿宋_GB2312" w:hAnsi="仿宋_GB2312" w:eastAsia="仿宋_GB2312"/>
          <w:b w:val="0"/>
          <w:sz w:val="32"/>
        </w:rPr>
        <w:t>新艺粉末与椿本、博格华纳等外资合作开发产品，逐步进入本田、丰田等市场，外销渠道拓展。出口市场多元拓展，抗风险能力增强。跨境电商等新业态打开了增量空间。出口市场多元拓展，抗风险能力增强。跨境电商等新业态打开了增量空间。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出口市场多元拓展、抗风险能力增强，全球布局打开了增量空间、平滑了外部波动。出口市场多元拓展，抗风险能力增强。跨境电商等新业态打开了增量空间。出口市场多元拓展，抗风险能力增强。跨境电商等新业态打开了增量空间。建议完善配套政策，引导资源向优势环节集聚。区内企业应把握机遇，提升自身核心竞争力。从长远看，应注重创新驱动与绿色转型并重。</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鲁银新材成为粉末冶金行业龙头与单项冠军，钢城中国粉末冶金之都区域品牌影响力持续提升。品牌影响力逐步提升，溢价空间打开。标准引领与品牌背书增强了客户黏性。品牌影响力逐步提升，溢价空间打开。标准引领与品牌背书增强了客户黏性。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标准引领与品牌背书增强了客户黏性，龙头企业以质量与认证构筑竞争壁垒，溢价空间逐步打开。品牌影响力逐步提升，溢价空间打开。标准引领与品牌背书增强了客户黏性。品牌影响力逐步提升，溢价空间打开。标准引领与品牌背书增强了客户黏性。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品牌影响力逐步提升、溢价空间打开，但整体国际品牌认知度仍弱于欧美巨头，需持续加大海外营销。品牌影响力逐步提升，溢价空间打开。标准引领与品牌背书增强了客户黏性。品牌影响力逐步提升，溢价空间打开。标准引领与品牌背书增强了客户黏性。建议完善配套政策，引导资源向优势环节集聚。区内企业应把握机遇，提升自身核心竞争力。从长远看，应注重创新驱动与绿色转型并重。</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新能源汽车、光伏、AI服务器对软磁粉、锂电粉需求激增，2026年上半年鲁银锂电专用粉体销量同比暴涨149%。需求结构变化倒逼供给端加快升级。个性化、高品质需求成为增长新引擎。需求结构变化倒逼供给端加快升级。个性化、高品质需求成为增长新引擎。建议完善配套政策，引导资源向优势环节集聚。区内企业应把握机遇，提升自身核心竞争力。</w:t>
      </w:r>
    </w:p>
    <w:p>
      <w:pPr>
        <w:spacing w:lineRule="exact" w:line="600" w:after="0"/>
        <w:ind w:firstLine="420"/>
      </w:pPr>
      <w:r>
        <w:rPr>
          <w:rFonts w:ascii="仿宋_GB2312" w:hAnsi="仿宋_GB2312" w:eastAsia="仿宋_GB2312"/>
          <w:b w:val="0"/>
          <w:sz w:val="32"/>
        </w:rPr>
        <w:t>汽车轻量化与高端装备制造推动高密度、高性能粉末零件需求上升，为集群升级提供市场牵引。需求结构变化倒逼供给端加快升级。个性化、高品质需求成为增长新引擎。需求结构变化倒逼供给端加快升级。个性化、高品质需求成为增长新引擎。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需求结构变化倒逼供给端加快升级，高性能、低碳化需求成为企业研发与产能投放的新引擎。需求结构变化倒逼供给端加快升级。个性化、高品质需求成为增长新引擎。需求结构变化倒逼供给端加快升级。个性化、高品质需求成为增长新引擎。建议完善配套政策，引导资源向优势环节集聚。区内企业应把握机遇，提升自身核心竞争力。从长远看，应注重创新驱动与绿色转型并重。</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莱芜、日照及省外有钢铁粉末企业，钢城需在亚洲第一制粉规模与功能粉体高端化上巩固比较优势。区域竞合加剧，错位发展尤为关键。比较优势的巩固决定了竞争位势。区域竞合加剧，错位发展尤为关键。比较优势的巩固决定了竞争位势。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与省内其他新材料集群相比，钢城在粉末冶金全链条完整性上具特色，但需与精密锻件等错位协同发展。区域竞合加剧，错位发展尤为关键。比较优势的巩固决定了竞争位势。区域竞合加剧，错位发展尤为关键。比较优势的巩固决定了竞争位势。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区域竞合加剧、错位发展尤为关键，在特种合金粉与精密制品上的专精优势决定了竞争位势。区域竞合加剧，错位发展尤为关键。比较优势的巩固决定了竞争位势。区域竞合加剧，错位发展尤为关键。比较优势的巩固决定了竞争位势。建议完善配套政策，引导资源向优势环节集聚。区内企业应把握机遇，提升自身核心竞争力。从长远看，应注重创新驱动与绿色转型并重。</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在高端合金粉、3D打印粉等前沿品种稳定性仍不足，部分高端制品依赖进口设备与工艺。内部结构性矛盾仍需下力气破解。短板治理应坚持问题导向与系统思维。内部结构性矛盾仍需下力气破解。短板治理应坚持问题导向与系统思维。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中小企业数字化与研发能力不均，创新资源向鲁银等龙头集中，配套企业研发能力相对薄弱。内部结构性矛盾仍需下力气破解。短板治理应坚持问题导向与系统思维。内部结构性矛盾仍需下力气破解。短板治理应坚持问题导向与系统思维。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内部结构性矛盾仍需下力气破解，短板治理应坚持问题导向与系统思维，避免低水平重复建设。内部结构性矛盾仍需下力气破解。短板治理应坚持问题导向与系统思维。内部结构性矛盾仍需下力气破解。短板治理应坚持问题导向与系统思维。建议完善配套政策，引导资源向优势环节集聚。区内企业应把握机遇，提升自身核心竞争力。从长远看，应注重创新驱动与绿色转型并重。</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钢铁原料与能源价格波动向粉末成本传导，出口市场面临贸易壁垒与汇率波动等外部不确定性。外部不确定性上升，需强化风险预案。应健全预警机制以平滑外部冲击。外部不确定性上升，需强化风险预案。应健全预警机制以平滑外部冲击。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高端粉体国际竞争激烈、技术迭代快，关键装备与原创工艺仍部分依赖外部，供应链安全风险需对冲。外部不确定性上升，需强化风险预案。应健全预警机制以平滑外部冲击。外部不确定性上升，需强化风险预案。应健全预警机制以平滑外部冲击。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外部不确定性上升、需强化风险预案，应健全预警机制以平滑外部冲击、保障供应链安全。外部不确定性上升，需强化风险预案。应健全预警机制以平滑外部冲击。外部不确定性上升，需强化风险预案。应健全预警机制以平滑外部冲击。建议完善配套政策，引导资源向优势环节集聚。区内企业应把握机遇，提升自身核心竞争力。从长远看，应注重创新驱动与绿色转型并重。</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依据《山东省特色产业集群管理办法》等，省工信厅组织2025年度认定，经申报、推荐、评审、公示确定35家入选。顶层政策为集群发展提供了制度保障。政策协同发力形成了良好预期。顶层政策为集群发展提供了制度保障。政策协同发力形成了良好预期。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省级特色产业集群的培育认定是推动区域高质量发展、提升产业核心竞争力的重要举措，为集群提供制度保障。顶层政策为集群发展提供了制度保障。政策协同发力形成了良好预期。顶层政策为集群发展提供了制度保障。政策协同发力形成了良好预期。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顶层政策为集群发展提供了制度保障，政策协同发力形成了良好预期，引导资源向优势产业集聚。顶层政策为集群发展提供了制度保障。政策协同发力形成了良好预期。顶层政策为集群发展提供了制度保障。政策协同发力形成了良好预期。建议完善配套政策，引导资源向优势环节集聚。区内企业应把握机遇，提升自身核心竞争力。从长远看，应注重创新驱动与绿色转型并重。</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钢城区制定《粉末冶金产业发展规划》，出台支持粉末冶金发展优惠政策，明确产业发展方向。地方配套举措精准有力，落地见效。要素与场景双轮驱动政策红利释放。地方配套举措精准有力，落地见效。要素与场景双轮驱动政策红利释放。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组建粉末冶金招商专班，承办华东五省一市粉末冶金技术交流会，落地鲁欣粉磁等一批优质项目。地方配套举措精准有力，落地见效。要素与场景双轮驱动政策红利释放。地方配套举措精准有力，落地见效。要素与场景双轮驱动政策红利释放。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地方配套举措精准有力、落地见效，要素与场景双轮驱动政策红利释放，赋能企业创新发展。地方配套举措精准有力，落地见效。要素与场景双轮驱动政策红利释放。地方配套举措精准有力，落地见效。要素与场景双轮驱动政策红利释放。建议完善配套政策，引导资源向优势环节集聚。区内企业应把握机遇，提升自身核心竞争力。从长远看，应注重创新驱动与绿色转型并重。</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谋划建设占地1000亩粉体新材料产业园，构建一院二基地三中心发展格局，强化公共研发与转化配套。公共服务配套日臻完善，便利性提升。生产生活配套均衡化改善了营商环境。公共服务配套日臻完善，便利性提升。生产生活配套均衡化改善了营商环境。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钢城区与中南大学共建粉末冶金（山东）创新研究院，设立桐华生物质材料实验室，完善创新生态。公共服务配套日臻完善，便利性提升。生产生活配套均衡化改善了营商环境。公共服务配套日臻完善，便利性提升。生产生活配套均衡化改善了营商环境。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公共服务配套日臻完善、便利性提升，生产生活配套均衡化改善了营商环境，降低了企业综合运营成本。公共服务配套日臻完善，便利性提升。生产生活配套均衡化改善了营商环境。公共服务配套日臻完善，便利性提升。生产生活配套均衡化改善了营商环境。建议完善配套政策，引导资源向优势环节集聚。区内企业应把握机遇，提升自身核心竞争力。从长远看，应注重创新驱动与绿色转型并重。</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粉末冶金创新联合体由鲁银、新艺等组成，从甲方乙方变为创新共同体，联合攻关高致密性原材料。行业协会在自律协调中作用凸显。协会桥梁功能促进了信息共享与对接。行业协会在自律协调中作用凸显。协会桥梁功能促进了信息共享与对接。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行业协会与产业联盟在统一标准、市场开拓、产学研对接、应对贸易摩擦等方面提供协调支持。行业协会在自律协调中作用凸显。协会桥梁功能促进了信息共享与对接。行业协会在自律协调中作用凸显。协会桥梁功能促进了信息共享与对接。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行业协会在自律协调中作用凸显，协会桥梁功能促进了信息共享与对接，提升了集群整体协同效率。行业协会在自律协调中作用凸显。协会桥梁功能促进了信息共享与对接。行业协会在自律协调中作用凸显。协会桥梁功能促进了信息共享与对接。建议完善配套政策，引导资源向优势环节集聚。区内企业应把握机遇，提升自身核心竞争力。从长远看，应注重创新驱动与绿色转型并重。</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2025年上半年集群产值10.61亿元、同比增长20.8%，对钢城工业经济与税收贡献显著。集群对区域经济的拉动作用明显。税收与产值贡献稳步攀升。集群对区域经济的拉动作用明显。税收与产值贡献稳步攀升。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鲁欣粉磁全部建成可年产值13亿元，新增就业200余个，拉动效应明显。集群对区域经济的拉动作用明显。税收与产值贡献稳步攀升。集群对区域经济的拉动作用明显。税收与产值贡献稳步攀升。建议完善配套政策，引导资源向优势环节集聚。区内企业应把握机遇，提升自身核心竞争力。从长远看，应注重创新驱动与绿色转型并重。需重点关注薄弱环节，防止短板效应放大。</w:t>
      </w:r>
    </w:p>
    <w:p>
      <w:pPr>
        <w:spacing w:lineRule="exact" w:line="600" w:after="0"/>
        <w:ind w:firstLine="420"/>
      </w:pPr>
      <w:r>
        <w:rPr>
          <w:rFonts w:ascii="仿宋_GB2312" w:hAnsi="仿宋_GB2312" w:eastAsia="仿宋_GB2312"/>
          <w:b w:val="0"/>
          <w:sz w:val="32"/>
        </w:rPr>
        <w:t>集群对区域经济的拉动作用明显，税收与产值贡献稳步攀升，成为钢城高质量发展的重要引擎。集群对区域经济的拉动作用明显。税收与产值贡献稳步攀升。集群对区域经济的拉动作用明显。税收与产值贡献稳步攀升。建议完善配套政策，引导资源向优势环节集聚。区内企业应把握机遇，提升自身核心竞争力。从长远看，应注重创新驱动与绿色转型并重。需重点关注薄弱环节，防止短板效应放大。</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集聚32家企业，覆盖研发、制粉、制品、物流等环节，稳就业效应持续释放。稳就业、促增收的效应持续释放。就近城镇化因产业集聚而提速。稳就业、促增收的效应持续释放。就近城镇化因产业集聚而提速。建议完善配套政策，引导资源向优势环节集聚。区内企业应把握机遇，提升自身核心竞争力。从长远看，应注重创新驱动与绿色转型并重。需重点关注薄弱环节，防止短板效应放大。</w:t>
      </w:r>
    </w:p>
    <w:p>
      <w:pPr>
        <w:spacing w:lineRule="exact" w:line="600" w:after="0"/>
        <w:ind w:firstLine="420"/>
      </w:pPr>
      <w:r>
        <w:rPr>
          <w:rFonts w:ascii="仿宋_GB2312" w:hAnsi="仿宋_GB2312" w:eastAsia="仿宋_GB2312"/>
          <w:b w:val="0"/>
          <w:sz w:val="32"/>
        </w:rPr>
        <w:t>龙头企业扩产与智能化改造在创造岗位的同时提升岗位质量，带动周边配套就业。稳就业、促增收的效应持续释放。就近城镇化因产业集聚而提速。稳就业、促增收的效应持续释放。就近城镇化因产业集聚而提速。建议完善配套政策，引导资源向优势环节集聚。区内企业应把握机遇，提升自身核心竞争力。从长远看，应注重创新驱动与绿色转型并重。需重点关注薄弱环节，防止短板效应放大。</w:t>
      </w:r>
    </w:p>
    <w:p>
      <w:pPr>
        <w:spacing w:lineRule="exact" w:line="600" w:after="0"/>
        <w:ind w:firstLine="420"/>
      </w:pPr>
      <w:r>
        <w:rPr>
          <w:rFonts w:ascii="仿宋_GB2312" w:hAnsi="仿宋_GB2312" w:eastAsia="仿宋_GB2312"/>
          <w:b w:val="0"/>
          <w:sz w:val="32"/>
        </w:rPr>
        <w:t>稳就业、促增收的效应持续释放，就近城镇化因产业集聚而提速，民生改善与产业发展互促共进。稳就业、促增收的效应持续释放。就近城镇化因产业集聚而提速。稳就业、促增收的效应持续释放。就近城镇化因产业集聚而提速。建议完善配套政策，引导资源向优势环节集聚。区内企业应把握机遇，提升自身核心竞争力。从长远看，应注重创新驱动与绿色转型并重。</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鲁银的技术外溢带动配套企业工艺升级，粉体、制品协同模式向周边中小企业扩散。技术外溢带动了周边配套同步成长。产业链辐射放大了集群正外部性。技术外溢带动了周边配套同步成长。产业链辐射放大了集群正外部性。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绿色制造、数字工厂等经验在集群内示范推广，带动区域制造业转型升级。技术外溢带动了周边配套同步成长。产业链辐射放大了集群正外部性。技术外溢带动了周边配套同步成长。产业链辐射放大了集群正外部性。建议完善配套政策，引导资源向优势环节集聚。区内企业应把握机遇，提升自身核心竞争力。从长远看，应注重创新驱动与绿色转型并重。需重点关注薄弱环节，防止短板效应放大。</w:t>
      </w:r>
    </w:p>
    <w:p>
      <w:pPr>
        <w:spacing w:lineRule="exact" w:line="600" w:after="0"/>
        <w:ind w:firstLine="420"/>
      </w:pPr>
      <w:r>
        <w:rPr>
          <w:rFonts w:ascii="仿宋_GB2312" w:hAnsi="仿宋_GB2312" w:eastAsia="仿宋_GB2312"/>
          <w:b w:val="0"/>
          <w:sz w:val="32"/>
        </w:rPr>
        <w:t>技术外溢带动了周边配套同步成长，产业链辐射放大了集群正外部性，赋能钢城相关产业。技术外溢带动了周边配套同步成长。产业链辐射放大了集群正外部性。技术外溢带动了周边配套同步成长。产业链辐射放大了集群正外部性。建议完善配套政策，引导资源向优势环节集聚。区内企业应把握机遇，提升自身核心竞争力。从长远看，应注重创新驱动与绿色转型并重。</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崛起增强了钢城产业自信，中国粉末冶金之都成为高质量发展的生动注脚。民生改善与社会治理互促共进。公共服务可及性随产业繁荣而提升。民生改善与社会治理互促共进。公共服务可及性随产业繁荣而提升。建议完善配套政策，引导资源向优势环节集聚。区内企业应把握机遇，提升自身核心竞争力。从长远看，应注重创新驱动与绿色转型并重。需重点关注薄弱环节，防止短板效应放大。</w:t>
      </w:r>
    </w:p>
    <w:p>
      <w:pPr>
        <w:spacing w:lineRule="exact" w:line="600" w:after="0"/>
        <w:ind w:firstLine="420"/>
      </w:pPr>
      <w:r>
        <w:rPr>
          <w:rFonts w:ascii="仿宋_GB2312" w:hAnsi="仿宋_GB2312" w:eastAsia="仿宋_GB2312"/>
          <w:b w:val="0"/>
          <w:sz w:val="32"/>
        </w:rPr>
        <w:t>营商环境优化与惠企政策落地提升了企业获得感，政企良性互动改善社会治理氛围。民生改善与社会治理互促共进。公共服务可及性随产业繁荣而提升。民生改善与社会治理互促共进。公共服务可及性随产业繁荣而提升。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民生改善与社会治理互促共进，公共服务可及性随产业繁荣而提升，区域认同感增强。民生改善与社会治理互促共进。公共服务可及性随产业繁荣而提升。民生改善与社会治理互促共进。公共服务可及性随产业繁荣而提升。建议完善配套政策，引导资源向优势环节集聚。区内企业应把握机遇，提升自身核心竞争力。从长远看，应注重创新驱动与绿色转型并重。</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集群在高端合金粉、3D打印粉等前沿品种稳定性不足，部分高端制品依赖进口设备与工艺。问题清单已较为清晰，整改路径明确。短板与风险须统筹谋划、协同化解。问题清单已较为清晰，整改路径明确。短板与风险须统筹谋划、协同化解。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中小企业数字化与研发能力不均，创新资源向龙头集中，产业链协同效率仍有提升空间。问题清单已较为清晰，整改路径明确。短板与风险须统筹谋划、协同化解。问题清单已较为清晰，整改路径明确。短板与风险须统筹谋划、协同化解。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问题清单已较为清晰、整改路径明确，短板与风险须统筹谋划、协同化解，方能行稳致远。问题清单已较为清晰，整改路径明确。短板与风险须统筹谋划、协同化解。问题清单已较为清晰，整改路径明确。短板与风险须统筹谋划、协同化解。建议完善配套政策，引导资源向优势环节集聚。区内企业应把握机遇，提升自身核心竞争力。从长远看，应注重创新驱动与绿色转型并重。</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向上游补强超纯铁精粉、关键合金原料与专用装备，向中游提升功能粉体与精密零件高端化水平。应沿链条精准补位，提升整体韧性。向上下游延伸有助于捕获更多价值。应沿链条精准补位，提升整体韧性。向上下游延伸有助于捕获更多价值。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向下游延伸新能源、航空航天、电子信息应用，发展粉末回收与资源循环绿色闭环产业链。应沿链条精准补位，提升整体韧性。向上下游延伸有助于捕获更多价值。应沿链条精准补位，提升整体韧性。向上下游延伸有助于捕获更多价值。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应沿链条精准补位、提升整体韧性，向上下游延伸有助于捕获更多价值、增强抗风险能力。应沿链条精准补位，提升整体韧性。向上下游延伸有助于捕获更多价值。应沿链条精准补位，提升整体韧性。向上下游延伸有助于捕获更多价值。建议完善配套政策，引导资源向优势环节集聚。区内企业应把握机遇，提升自身核心竞争力。从长远看，应注重创新驱动与绿色转型并重。</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企业梯队培育，支持鲁银、鲁欣、新艺等龙头企业全球布局，壮大规模以上企业群体。实施梯队培育，壮大优质企业群体。专精特新导向可优化企业生态。实施梯队培育，壮大优质企业群体。专精特新导向可优化企业生态。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引导中小企业向专精特新方向发展，在功能粉体、精密制品等细分环节培育单项冠军后备军。实施梯队培育，壮大优质企业群体。专精特新导向可优化企业生态。实施梯队培育，壮大优质企业群体。专精特新导向可优化企业生态。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实施梯队培育、壮大优质企业群体，专精特新导向可优化企业生态，提升整体配套能级。实施梯队培育，壮大优质企业群体。专精特新导向可优化企业生态。实施梯队培育，壮大优质企业群体。专精特新导向可优化企业生态。建议完善配套政策，引导资源向优势环节集聚。区内企业应把握机遇，提升自身核心竞争力。从长远看，应注重创新驱动与绿色转型并重。</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支持企业加大研发投入，围绕高熵涂层、软磁粉、MIM粉末突破关键核心技术。以创新赋能，推动产品向中高端迈进。产学研协同是突破瓶颈的有效抓手。以创新赋能，推动产品向中高端迈进。产学研协同是突破瓶颈的有效抓手。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深化产学研协同，发挥高校院所作用，建设公共中试与检测平台，提升共性技术供给。以创新赋能，推动产品向中高端迈进。产学研协同是突破瓶颈的有效抓手。以创新赋能，推动产品向中高端迈进。产学研协同是突破瓶颈的有效抓手。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以创新赋能、推动产品向中高端迈进，产学研协同是突破瓶颈的有效抓手，提升价值链位势。以创新赋能，推动产品向中高端迈进。产学研协同是突破瓶颈的有效抓手。以创新赋能，推动产品向中高端迈进。产学研协同是突破瓶颈的有效抓手。建议完善配套政策，引导资源向优势环节集聚。区内企业应把握机遇，提升自身核心竞争力。从长远看，应注重创新驱动与绿色转型并重。</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强化土地、能耗、资金等要素统筹，优先保障鲁欣等重大项目用地与用能。强化要素统筹，破解瓶颈约束。市场化配置可提升要素使用效率。强化要素统筹，破解瓶颈约束。市场化配置可提升要素使用效率。建议完善配套政策，引导资源向优势环节集聚。区内企业应把握机遇，提升自身核心竞争力。从长远看，应注重创新驱动与绿色转型并重。需重点关注薄弱环节，防止短板效应放大。</w:t>
      </w:r>
    </w:p>
    <w:p>
      <w:pPr>
        <w:spacing w:lineRule="exact" w:line="600" w:after="0"/>
        <w:ind w:firstLine="420"/>
      </w:pPr>
      <w:r>
        <w:rPr>
          <w:rFonts w:ascii="仿宋_GB2312" w:hAnsi="仿宋_GB2312" w:eastAsia="仿宋_GB2312"/>
          <w:b w:val="0"/>
          <w:sz w:val="32"/>
        </w:rPr>
        <w:t>拓宽中小企业融资担保与产业基金渠道，缓解技改资金压力，引导金融资源精准滴灌。强化要素统筹，破解瓶颈约束。市场化配置可提升要素使用效率。强化要素统筹，破解瓶颈约束。市场化配置可提升要素使用效率。建议完善配套政策，引导资源向优势环节集聚。区内企业应把握机遇，提升自身核心竞争力。从长远看，应注重创新驱动与绿色转型并重。需重点关注薄弱环节，防止短板效应放大。</w:t>
      </w:r>
    </w:p>
    <w:p>
      <w:pPr>
        <w:spacing w:lineRule="exact" w:line="600" w:after="0"/>
        <w:ind w:firstLine="420"/>
      </w:pPr>
      <w:r>
        <w:rPr>
          <w:rFonts w:ascii="仿宋_GB2312" w:hAnsi="仿宋_GB2312" w:eastAsia="仿宋_GB2312"/>
          <w:b w:val="0"/>
          <w:sz w:val="32"/>
        </w:rPr>
        <w:t>强化要素统筹、破解瓶颈约束，市场化配置可提升要素使用效率，保障集群可持续发展。强化要素统筹，破解瓶颈约束。市场化配置可提升要素使用效率。强化要素统筹，破解瓶颈约束。市场化配置可提升要素使用效率。建议完善配套政策，引导资源向优势环节集聚。区内企业应把握机遇，提升自身核心竞争力。从长远看，应注重创新驱动与绿色转型并重。</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延续并优化特色产业集群扶持政策，对专精特新、单项冠军、首台（套）给予精准奖补。优化政策供给，提升精准性与获得感。绩效评估闭环有助于政策迭代完善。优化政策供给，提升精准性与获得感。绩效评估闭环有助于政策迭代完善。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健全贸易摩擦应对与预警机制，支持企业海外营销与认证，提升国际品牌认知度。优化政策供给，提升精准性与获得感。绩效评估闭环有助于政策迭代完善。优化政策供给，提升精准性与获得感。绩效评估闭环有助于政策迭代完善。建议完善配套政策，引导资源向优势环节集聚。区内企业应把握机遇，提升自身核心竞争力。从长远看，应注重创新驱动与绿色转型并重。</w:t>
      </w:r>
    </w:p>
    <w:p>
      <w:pPr>
        <w:spacing w:lineRule="exact" w:line="600" w:after="0"/>
        <w:ind w:firstLine="420"/>
      </w:pPr>
      <w:r>
        <w:rPr>
          <w:rFonts w:ascii="仿宋_GB2312" w:hAnsi="仿宋_GB2312" w:eastAsia="仿宋_GB2312"/>
          <w:b w:val="0"/>
          <w:sz w:val="32"/>
        </w:rPr>
        <w:t>优化政策供给、提升精准性与获得感，绩效评估闭环有助于政策迭代完善，做强粉末冶金之都。优化政策供给，提升精准性与获得感。绩效评估闭环有助于政策迭代完善。优化政策供给，提升精准性与获得感。绩效评估闭环有助于政策迭代完善。建议完善配套政策，引导资源向优势环节集聚。区内企业应把握机遇，提升自身核心竞争力。从长远看，应注重创新驱动与绿色转型并重。</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乘“粉”而起 集群成势（钢城融媒）https://iapp.xingfugangcheng.com/share/YS0xMDctNDAyMzM3ODQ.html</w:t>
      </w:r>
    </w:p>
    <w:p>
      <w:pPr>
        <w:spacing w:lineRule="exact" w:line="600" w:after="0"/>
        <w:ind w:firstLine="0"/>
      </w:pPr>
      <w:r>
        <w:rPr>
          <w:rFonts w:ascii="仿宋_GB2312" w:hAnsi="仿宋_GB2312" w:eastAsia="仿宋_GB2312"/>
          <w:b w:val="0"/>
          <w:sz w:val="32"/>
        </w:rPr>
        <w:t>2. 济南市钢城区获批山东省粉末冶金特色产业集群（齐鲁网/闪电新闻）https://so.html5.qq.com/page/real/search_news?docid=70000021_787689c4dbf92752</w:t>
      </w:r>
    </w:p>
    <w:p>
      <w:pPr>
        <w:spacing w:lineRule="exact" w:line="600" w:after="0"/>
        <w:ind w:firstLine="0"/>
      </w:pPr>
      <w:r>
        <w:rPr>
          <w:rFonts w:ascii="仿宋_GB2312" w:hAnsi="仿宋_GB2312" w:eastAsia="仿宋_GB2312"/>
          <w:b w:val="0"/>
          <w:sz w:val="32"/>
        </w:rPr>
        <w:t>3. 打造产业集群，钢城区培育粉末冶金行业做大做强（齐鲁网）https://sdxw.iqilu.com/share/YS0yMS0xNjY4MjMwNg==.html</w:t>
      </w:r>
    </w:p>
    <w:p>
      <w:pPr>
        <w:spacing w:lineRule="exact" w:line="600" w:after="0"/>
        <w:ind w:firstLine="0"/>
      </w:pPr>
      <w:r>
        <w:rPr>
          <w:rFonts w:ascii="仿宋_GB2312" w:hAnsi="仿宋_GB2312" w:eastAsia="仿宋_GB2312"/>
          <w:b w:val="0"/>
          <w:sz w:val="32"/>
        </w:rPr>
        <w:t>4. 山东新增35家特色产业集群，济南入围两家（舜网/济南时报）https://www.sd.news.cn/20250624/a706497aa61247599d3006b17f86a918/c.html</w:t>
      </w:r>
    </w:p>
    <w:p>
      <w:pPr>
        <w:spacing w:lineRule="exact" w:line="600" w:after="0"/>
        <w:ind w:firstLine="0"/>
      </w:pPr>
      <w:r>
        <w:rPr>
          <w:rFonts w:ascii="仿宋_GB2312" w:hAnsi="仿宋_GB2312" w:eastAsia="仿宋_GB2312"/>
          <w:b w:val="0"/>
          <w:sz w:val="32"/>
        </w:rPr>
        <w:t>5. 2025年度山东省特色产业集群名单公示 钢城经济开发区粉末冶金入选（钢城发布台）https://iapp.xingfugangcheng.com/share/YS0xMDctMzkzMjIzNTQ.html</w:t>
      </w:r>
    </w:p>
    <w:p>
      <w:pPr>
        <w:spacing w:lineRule="exact" w:line="600" w:after="0"/>
        <w:ind w:firstLine="0"/>
      </w:pPr>
      <w:r>
        <w:rPr>
          <w:rFonts w:ascii="仿宋_GB2312" w:hAnsi="仿宋_GB2312" w:eastAsia="仿宋_GB2312"/>
          <w:b w:val="0"/>
          <w:sz w:val="32"/>
        </w:rPr>
        <w:t>6. “一捧粉”带动产业走向全国第一梯队（大众新闻）https://dzrb.dzng.com/general/0/NEWS1987256WHAMCVTIXXKVH</w:t>
      </w:r>
    </w:p>
    <w:p>
      <w:pPr>
        <w:spacing w:lineRule="exact" w:line="600" w:after="0"/>
        <w:ind w:firstLine="0"/>
      </w:pPr>
      <w:r>
        <w:rPr>
          <w:rFonts w:ascii="仿宋_GB2312" w:hAnsi="仿宋_GB2312" w:eastAsia="仿宋_GB2312"/>
          <w:b w:val="0"/>
          <w:sz w:val="32"/>
        </w:rPr>
        <w:t>7. 山东鲁银新材料科技有限公司（企业官网）https://www.lgpm.com/?q=user</w:t>
      </w:r>
    </w:p>
    <w:p>
      <w:pPr>
        <w:spacing w:lineRule="exact" w:line="600" w:after="0"/>
        <w:ind w:firstLine="0"/>
      </w:pPr>
      <w:r>
        <w:rPr>
          <w:rFonts w:ascii="仿宋_GB2312" w:hAnsi="仿宋_GB2312" w:eastAsia="仿宋_GB2312"/>
          <w:b w:val="0"/>
          <w:sz w:val="32"/>
        </w:rPr>
        <w:t>8. 聚焦两大主导产业和装配式建筑产业，钢城经济开发区持续推动产业向新（钢城经济开发区）http://www.jnxc.gov.cn/show-76-7863-1.html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