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济南高新区高端软件特色产业集群发展研究报告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济南高新区高端软件特色产业集群于2025年6月经山东省工业和信息化厅评定，正式入选省级特色产业集群名单，由济南高新区管委会发展改革和科技经济部会同齐鲁软件园发展中心组织申报。集群以齐鲁软件园为核心承载空间，是济南市“中国软件名城”建设的核心引擎。，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齐鲁软件园自1995年获批建设以来，历经三十年深耕，已从初创时32家企业发展为集聚企业超8万家、软件人才26万人的产业高地。2025年，齐鲁软件园在“中国软件高质量发展TOP30软件园区”评选中跃居全国第四位，成为高端软件领域全国领先的集聚区。，链主企业的引领带动作用仍需进一步放大。，绿色低碳转型的方向已经明确，任务较为紧迫。</w:t>
      </w:r>
    </w:p>
    <w:p>
      <w:pPr>
        <w:spacing w:lineRule="exact" w:line="600" w:after="0"/>
        <w:ind w:firstLine="420"/>
      </w:pPr>
      <w:r>
        <w:rPr>
          <w:rFonts w:ascii="仿宋_GB2312" w:hAnsi="仿宋_GB2312" w:eastAsia="仿宋_GB2312"/>
          <w:b w:val="0"/>
          <w:sz w:val="32"/>
        </w:rPr>
        <w:t>总体看，该集群依托济南雄厚的软件产业基础和高校科研资源，形成了以基础软件、工业软件、行业应用软件协同发展的完整生态。从区域布局看，集群以齐鲁软件园为中心辐射济南高新区东部片区，是全省高端软件产业链最完整、创新最活跃的区域之一。，链主企业的引领带动作用仍需进一步放大。，绿色低碳转型的方向已经明确，任务较为紧迫。</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2025年济南高新区规上信息传输、软件和信息技术服务业年营收超500亿元，规上电子信息制造业年营收突破1500亿元。园区软件和信息技术服务收入占全市六成以上，高端软件产业已成为支撑区域工业经济高质量发展的主导力量。，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集群集聚软件及新一代信息技术企业超过1000家，拥有山东省首版次高端软件产品近600款、省级软件产业高质量发展重点项目200余项。从企业产出看，浪潮系服务器出货量保持全球第二、中国第一，为集群规模扩张提供了坚实支撑。，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需重点关注，2026年济南市政府工作报告明确“高端软件领域力争产业规模达到1300亿元”，齐鲁软件园被单独点名强化产业带动作用。总体看，集群规模体量处于快速扩张期，未来两到三年有望迈上新台阶。，链主企业的引领带动作用仍需进一步放大。，绿色低碳转型的方向已经明确，任务较为紧迫。，创新驱动正日益成为集群提质升级的主引擎。</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基础软件、工业软件、行业应用软件、新兴平台软件四大领域，形成齐头并进格局。济南市已将高端软件产业链纳入全市13条标志性产业链，作为工业强市建设主攻方向，政策聚焦度高。，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以浪潮集团为龙头，华天软件、瀚高软件、普联软件等骨干企业协同发展，构建起千亿级软件集群。其中工业软件是核心优势，华天软件皇冠CAD用户突破52万人，2025年10月斩获中国国际软件博览会最高荣誉金奖。，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从产业链看，集群在研发设计、生产制造、运营管理各环节均形成领先优势。总体看，基础软件与工业软件自主可控能力持续增强，为高端制造安全自主奠定基础，也为新一代信息技术与制造业融合提供核心动能。，链主企业的引领带动作用仍需进一步放大。，绿色低碳转型的方向已经明确，任务较为紧迫。，创新驱动正日益成为集群提质升级的主引擎。</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涵盖基础软件、工业软件、行业应用软件、新兴平台软件的完整产业链条。在工业软件领域，形成从研发设计、生产制造到运营管理的全链条解决方案，济南工业软件大厦已招引上下游企业近40家。，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上游以操作系统、数据库、中间件等基础软件为支撑，中游聚焦CAD、EDA等研发设计类软件及生产控制软件，下游延伸至行业应用与系统集成。总体看，产业链各环节衔接紧密，本地配套能力较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济南工业软件研究院于2025年8月正式入驻工业软件大厦，计划五年内孵化引进50个科研团队，攻克2项“卡脖子”技术，强化研发设计软件短板。从产业链看，补链强链持续推进。，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在底层基础软件领域仍存在短板，操作系统、高端数据库等核心环节对外依存度较高。部分工业软件底层引擎仍需引进，自主可控的底层技术体系尚在完善之中。，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与北京、深圳等先发地区相比，集群在软件人才总量、高端复合型人才储备上仍有差距。需重点关注，人工智能、大模型等新兴领域的高端研发人才争夺日趋激烈，引才留才压力犹存。，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产业链看，部分中小企业产品同质化倾向明显，细分领域“专精特新”企业数量有待提升。总体看，产业链韧性需进一步增强，关键环节自主化水平应持续提升。，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价值链上正由应用开发向核心底层技术攀升。华天软件自主研发“三维几何建模引擎DGM”和“几何约束求解器HTGC”，成为国内少数拥有完全自主知识产权三维CAD内核的企业，价值链地位显著提升。，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浪潮集团牵头建设国家人工智能应用中试基地（工业软件），聚焦研发设计、生产控制、业务管理三类软件，构建全栈自主共性支撑能力，推动价值链向高端延伸。总体看，国家级平台落地强化了集群价值位势。，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需重点关注，集群软件产品附加值总体较高，但部分环节仍处于价值链中低端。从产业链看，应加快核心技术突破，推动更多企业向“研发+服务”高价值环节跃升。，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企业呈现清晰分工：浪潮集团聚焦云计算、服务器及基础软件平台，华天软件深耕三维CAD等研发设计软件，瀚高软件专注数据库，普联软件面向能源等行业应用，形成错位协同格局。，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齐鲁软件园构建“众创空间—孵化器—加速器—专业园区”全链条孵化体系，大中小企业梯次分布。总体看，龙头领航、骨干协同、初创配套的分工生态已基本形成。，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区域分工看，济南高新区以高端软件为核心，与济南其他城区在人工智能、工业互联网等领域形成互补。需重点关注，应强化园区间协作，避免重复布局，提升全市软件产业整体竞争力。，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集聚软件及新一代信息技术企业超过1000家，其中既有浪潮等千亿级龙头，也有华天软件、瀚高软件等骨干企业，以及大量中小微创企业，呈现“龙头引领、梯队完整”的规模结构。，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齐鲁软件园集聚企业超8万家（含各类科技型企业），软件人才26万人，企业载体面积超千万平方米。总体看，大中小企业融通发展态势良好，市场主体活力充沛。，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集群内规上软件企业占比仍有提升空间，部分中小企业规模偏小、抗风险能力较弱。从企业结构看，应加大对“专精特新”中小企业的培育力度。，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多元，既有浪潮等国有控股龙头企业，也有华天软件、瀚高软件、普联软件等民营骨干企业，还有大量混合所有制与创业型民营企业，市场化程度较高。，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总体看，民营企业在工业软件、行业应用软件领域表现活跃，是技术创新的重要力量。需重点关注，应进一步激发民营资本活力，优化各类所有制企业公平竞争环境。，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产权结构看，园区通过产业基金、公共服务平台等市场化手段赋能企业，融资环境持续改善。总体看，多元产权结构增强了集群创新韧性与市场适应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浪潮集团是集群龙头，服务器出货量全球第二、中国第一，在云计算、基础软件领域优势突出，并牵头建设国家人工智能应用中试基地（工业软件），引领产业链协同创新。，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华天软件是工业软件骨干，自主研发三维CAD内核，皇冠CAD用户突破52万人，2025年10月获中国国际软件博览会金奖，成为研发设计软件领域标杆企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瀚高软件是国产数据库龙头之一，普联软件深耕能源等行业应用软件，均为省级重点项目承载主体。总体看，头部企业技术实力强、带动作用明显，是集群高质量发展的中坚力量。，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以齐鲁软件园为核心高度集聚，300余座产业楼宇承载近2万家软件和新一代信息技术企业，形成“上下楼即上下游”的紧密协作网络。总体看，空间集聚度与协作效率较高。，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企业集聚呈现产业链协同特征，研发设计、生产制造、应用服务类企业在楼宇间就近配套。需重点关注，应持续提升园区专业服务能力，强化“服务管家进万企”等精准服务机制。，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集聚效应看，人才、资本、技术向园区加速汇聚，形成创新雨林生态。总体看，高密度集聚降低了协作成本，提升了知识溢出与创新效率，是集群竞争力的重要来源。，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企业研发投入保持较快增长，浪潮、华天软件等头部企业研发强度位居行业前列。华天软件以十余年攻关突破三维CAD底层引擎，体现了长期高强度的研发积累。，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济南高新区省级以上研发机构达260家，建成省重点实验室16家、市重点实验室110余家，聚集省级以上研发机构514家，为软件企业研发提供平台支撑。总体看，研发要素供给充足。，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中小企业研发投入强度不均，部分企业难以承担长期基础研究。从创新投入看，应完善研发费用补助、首版次保险等机制，引导企业持续加大投入。，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拥有山东省首版次高端软件产品近600款、省级软件产业高质量发展重点项目200余项。华天软件皇冠CAD获2025年中国国际软件博览会金奖，标志创新成果达到国内顶尖水平。，链主企业的引领带动作用仍需进一步放大。，绿色低碳转型的方向已经明确，任务较为紧迫。，创新驱动正日益成为集群提质升级的主引擎。</w:t>
      </w:r>
    </w:p>
    <w:p>
      <w:pPr>
        <w:spacing w:lineRule="exact" w:line="600" w:after="0"/>
        <w:ind w:firstLine="420"/>
      </w:pPr>
      <w:r>
        <w:rPr>
          <w:rFonts w:ascii="仿宋_GB2312" w:hAnsi="仿宋_GB2312" w:eastAsia="仿宋_GB2312"/>
          <w:b w:val="0"/>
          <w:sz w:val="32"/>
        </w:rPr>
        <w:t>在工业软件领域，济南形成从研发设计到运营管理的全链条解决方案，济南工业软件研究院计划五年完成20项以上重大科技成果转化。总体看，创新成果产业化节奏加快。，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基础软件等领域原创性成果仍显不足。从创新产出看，应强化“卡脖子”技术攻关，提升高价值专利与首版次产品供给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密集，济南工业软件研究院、国家人工智能应用中试基地（工业软件）等国家级平台落地，齐鲁软件园拥有5家省重点实验室、10家院士工作站，平台能级持续提升。，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济南高新区新重组获批全国重点实验室2家，建成省重点实验室16家，科创城、国家实验室济南基地等高端平台加快建设。总体看，多层次创新平台体系已初步形成。，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平台开放共享程度有待提高。从创新平台看，应推动重大科研设施向中小企业开放，强化产学研协同，放大平台溢出效应。，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构建“研发—孵化—培育”全链条转化体系，工业软件研究院锚定技术突破与成果转化双重目标，计划五年孵化引进50个团队、完成20项以上重大转化。总体看，转化通道较为畅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齐鲁软件园“众创空间—孵化器—加速器—专业园区”体系覆盖企业全生命周期，深蓝智谱等初创企业借助政策辅导实现成果转化产值突破1亿元。从转化看，服务赋能成效显著。，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部分高校科研成果与产业需求衔接不够紧密。总体看，应健全“揭榜挂帅”等机制，畅通“实验室—生产线”通道，提升技术转化效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资源丰富，齐鲁软件园集聚软件人才26万人，涵盖研发、测试、运维、管理等各类岗位。济南高校密集，为产业持续输送计算机、软件工程等专业人才。总体看，人才供给基础扎实。，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园区推行高校“订单式”培养，精准对接产业需求，并依托院士工作站、省重点实验室强化高端人才支撑。需重点关注，人工智能、大模型等前沿领域高端人才竞争激烈，引才压力较大。，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劳动力结构看，中初级人才充裕但顶尖领军人才仍显不足。总体看，应完善人才安居、股权激励等政策，构建多层次人才引育留用体系。，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融资渠道多元，齐鲁软件园通过产业基金为企业提供融资支撑，园区公共服务平台赋能技术开发。济南高新区设立未来产业基金，支持软件与人工智能企业发展。总体看，资本供给较为充裕。，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早期软件企业轻资产特征明显，传统信贷获得感不强。从资本要素看，应发展创投、天使投资，推广知识产权质押融资，缓解初创企业资金约束。，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随着北交所、科创板等多层次资本市场完善，优质软件企业上市通道拓宽，资本要素对创新的支撑作用持续增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以齐鲁软件园楼宇经济为主，单位土地产出高、能耗低，符合绿色低碳发展方向。园区载体面积超千万平方米，可承载近2万家企业，土地利用效率较高。总体看，土地要素约束较小。，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软件产业属低能耗、高附加值产业，与“双碳”目标相容。需重点关注，园区用电、算力能耗随人工智能发展上升，应统筹绿色数据中心与算力基础设施建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要素保障看，高新区通过城市更新拓展产业空间，工业软件大厦等垂直园区提升集约化水平。总体看，土地能耗要素对集群扩张支撑良好。，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软件产业对实体原材料依赖低，核心“原料”为数据、算法与算力。集群依托济南算力基础设施与数据资源，为软件开发提供底层支撑。总体看，原材料约束弱、要素弹性大。，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重点关注，高质量行业数据集、开源社区资源仍是稀缺要素。从资源看，应建设行业数据空间，参与开源生态，提升软件开发的资源可及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集群“原材料”优势在于人才与算力，应持续强化智算中心、公共算力平台供给，巩固软件创新的资源基础。，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广泛应用于航空航天、汽车制造、能源、冶金等国内重点行业。华天软件皇冠CAD用户突破52万人，浪潮服务器国内市场份额领先，国内市场需求旺盛。总体看，内需市场空间广阔。，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济南市将高端软件纳入13条标志性产业链，省内制造业数字化转型释放大量软件需求。需重点关注，应深化与省内“13+34”产业链协同，拓展本地应用场景。，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市场结构看，行业应用软件在能源、政务等领域渗透率持续提升。总体看，国内大循环为集群提供稳定基本盘，市场韧性较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浪潮服务器等产品出口全球多个市场，保持全球第二出货量，是集群外向度的重要支撑。总体看，硬件制造环节外向度较高，软件服务出口逐步拓展。，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工业软件等核心产品国际市场份额仍有限，面临国外巨头竞争。从外贸看，应支持企业融入全球创新网络，参与国际标准制定，提升软件出海能力。，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总体看，集群外贸以服务器等硬件带动，纯软件服务出口占比有待提升，应培育更多具备国际竞争力的软件品牌。，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齐鲁软件园手握近20个国家级品牌，2025年跃居“中国软件高质量发展TOP30”全国第四，品牌影响力跻身全国前列。总体看，园区品牌已成为集群核心竞争力。，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华天软件皇冠CAD获2025年中国国际软件博览会金奖，浪潮“中国软件名城”核心企业地位稳固，头部企业品牌效应显著。需重点关注，应支持更多中小企业打造细分领域品牌。，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品牌体系看，应构建“园区品牌+企业品牌+产品品牌”矩阵，提升济南高端软件整体辨识度与美誉度。，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人工智能大模型兴起重塑软件需求，企业从单一工具采购转向“算力—数据—模型—应用”一体化解决方案。济南获批国家人工智能应用中试基地，正顺应这一趋势。总体看，需求结构加速升级。，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制造业数字化转型纵深推进，对工业软件、嵌入式软件需求快速增长。需重点关注，中小企业“不愿转、不敢转”仍制约需求释放，应完善低成本轻量化供给。，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需求端看，信创、安全自主替代打开增量空间。总体看，政策与市场双轮驱动，高端软件需求长期向好。，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软件产业竞争集中于北京、深圳、上海、杭州等地，济南在产业规模上仍有差距。但齐鲁软件园全国第四的排名显示集群已具区域竞争力。总体看，应走特色化错位竞争路线。，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山东省内青岛、烟台等地也在布局软件与工业互联网，区域内部竞争加剧。需重点关注，应强化济南“中国软件名城”核心地位，避免同质化内耗。，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区域格局看，集群应发挥工业软件、基础软件优势，对标先进园区补短板，在细分赛道形成不可替代的竞争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中小企业产品同质化、底层技术自主度不足等问题。部分企业集中于应用开发，核心引擎依赖外部。总体看，内功仍需夯实。，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人才结构性矛盾突出，顶尖领军人才与复合型人才短缺。需重点关注，应改革评价与激励机制，提升对高端人才的吸引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内部治理看，大中小企业融通深度不够，应强化龙头带动与产业链协同，提升整体运行效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国际技术封锁与出口管制加剧，工业软件底层工具链面临断供风险。总体看，外部不确定性上升，自主可控紧迫性增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全球软件产业周期波动、融资环境变化可能影响企业扩张。从外部风险看，应增强供应链韧性，拓展多元化技术路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应统筹发展与安全，在关键软件领域加快国产替代，降低对单一技术体系的依赖。，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人工智能+”行动、软件名城建设等政策为集群提供顶层支撑。山东省将高端软件纳入标志性产业链，2025年评定该集群为省级特色产业集群。总体看，政策红利持续释放。，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济南市将高端软件产业链纳入全市13条标志性产业链，作为工业强市主攻方向，并谋划工业软件研究院、国家“人工智能+工业软件”应用基地等重点项目。需重点关注，政策落地应细化到企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顶层看，2026年市政府工作报告明确高端软件“力争产业规模1300亿元”，目标导向清晰，为集群发展指明方向。，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济南高新区实施“服务管家进万企”，累计走访企业2200余家次，解决融资、人才、政策落地等诉求180余项，营商环境持续优化。总体看，地方扶持精准务实。，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园区构建全链条孵化体系，以产业基金、公共服务平台赋能企业，并设院士工作站、省重点实验室强化人才支撑。需重点关注，应扩大政策惠及面至中小微企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扶持方式看，高新区推行“一对一”全流程辅导，助企业入选各级人才工程，扶持针对性强、见效快。，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齐鲁软件园提供覆盖企业全生命周期的公共服务，包括算力平台、测试认证、融资对接等，300余座楼宇形成完备产业配套。总体看，公共配套成熟度高。，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济南高新区拥有省级以上研发机构514家、院士工作站等创新基础设施，为软件企业提供技术支撑。需重点关注，应提升算力、数据等新型基础设施供给。，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配套看，园区交通、商业、居住等城市功能不断完善，宜居宜业环境增强人才黏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山东省软件行业协会、济南软件行业协会等在标准制定、供需对接、人才培训等方面发挥作用，促进集群内企业交流协作。总体看，行业组织活跃度逐步提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行业协会在关键技术联合攻关、开源生态共建方面的组织力仍待加强。从协会作用看，应支持其搭建产学研用协同平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应发挥协会桥梁作用，组织技术沙龙、供需对接会，提升集群组织化程度与集体行动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2025年济南高新区规上软件和信息技术服务业营收超500亿元，电子信息制造业营收突破1500亿元，高端软件集群成为区域经济增长主引擎。总体看，经济贡献突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集群企业超1000家，带动上下游协同发展，2025年高新区规上工业营收较2021年增长112%，全市比重升至32%。需重点关注，应提升软件增加值在GDP中占比。，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经济效应看，高端软件高附加值特征显著，对财政、税收贡献稳步增长，是工业强市战略的重要支撑。，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齐鲁软件园集聚软件人才26万人，直接和间接带动大量就业。集群企业超1000家，提供研发、测试、运维、销售等多元岗位。总体看，就业吸纳能力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人工智能对部分低端岗位形成替代，应强化职业技能再培训。从就业看，应扩大高端岗位供给，提升就业质量。，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软件产业知识密集型特征带动就业结构升级，对济南人口人才集聚、城市活力提升作用明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高端软件向制造业渗透，赋能化工、冶金、矿山、机械、医药等行业数字化转型。华天软件CAD使产品研发周期缩短至一周内、成本降低约60%，溢出效应显著。总体看，产业带动面广。，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集群创新平台、人才向周边辐射，提升全市数字经济发展水平。需重点关注，应健全溢出机制，推动软件能力向传统产业外溢。，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溢出看，软件与实体经济融合催生新业态新模式，增强产业链韧性与竞争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提升济南城市产业能级与“中国软件名城”美誉度，增强城市吸引力。总体看，社会认同度高。，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lineRule="exact" w:line="600" w:after="0"/>
        <w:ind w:firstLine="420"/>
      </w:pPr>
      <w:r>
        <w:rPr>
          <w:rFonts w:ascii="仿宋_GB2312" w:hAnsi="仿宋_GB2312" w:eastAsia="仿宋_GB2312"/>
          <w:b w:val="0"/>
          <w:sz w:val="32"/>
        </w:rPr>
        <w:t>需重点关注，产业集聚带来房价、生活成本上升，应统筹产城融合与公共服务均衡。从社会效应看，应让发展成果惠及更多市民。，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高端软件集群成为济南创新驱动、绿色发展的城市名片，社会效益持续显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规模居全省前列但仍存短板：底层基础软件自主度不高、顶尖人才短缺、中小企业同质化、纯软件出口偏弱。需系统梳理、精准施策。，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内部看，大中小企业融通深度不足，关键环节“卡脖子”待突破。需重点关注创新平台开放共享与成果转化效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判断，集群处于由“应用集聚”向“核心技术引领”跃升的关键期，补短板、锻长板任务并重。，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操作系统、高端数据库、EDA等短板环节，强化济南工业软件研究院攻关。总体看，研发设计软件是补链重点。，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强链应巩固工业软件、三维CAD等优势，推动皇冠CAD等走向高端。需重点关注人工智能+工业软件融合，延链向行业解决方案与运维服务延伸。，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方向看，应构建“算力—数据—模型—应用”全链条，向高价值环节攀升，提升产业链整体竞争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次培育，支持浪潮等龙头做强，华天、瀚高等骨干做专，中小企业“专精特新”发展。总体看，应构建大中小企业融通生态。，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初创企业“死亡谷”困境，完善“众创—孵化—加速”服务。从培育看，应加大首版次软件推广与保险补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应鼓励企业上市融资、并购重组，打造一批具有生态主导力的软件领军企业。，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国家人工智能应用中试基地等平台作用，攻关三维CAD、EDA等底层技术。总体看，应提升原始创新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产学研深度融合，健全“揭榜挂帅”机制。从提升看，应推动重大平台向中小企业开放共享。，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lineRule="exact" w:line="600" w:after="0"/>
        <w:ind w:firstLine="420"/>
      </w:pPr>
      <w:r>
        <w:rPr>
          <w:rFonts w:ascii="仿宋_GB2312" w:hAnsi="仿宋_GB2312" w:eastAsia="仿宋_GB2312"/>
          <w:b w:val="0"/>
          <w:sz w:val="32"/>
        </w:rPr>
        <w:t>总体看，应布局人工智能大模型、开源软件等前沿，抢占下一代软件技术制高点。，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方面，完善“订单式”培养与顶尖人才引进政策，建强院士工作站等载体。总体看，应构建多层次人才体系。，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资本方面，发展创投与知识产权质押融资，缓解轻资产企业资金约束。需重点关注算力、数据等新型要素供给。，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从保障看，应统筹土地集约利用与绿色算力中心建设，强化软件创新要素支撑。，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落实高端软件“1300亿元”目标，细化产业链政策到企业、到项目。总体看，应强化政策协同与兑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lineRule="exact" w:line="600" w:after="0"/>
        <w:ind w:firstLine="420"/>
      </w:pPr>
      <w:r>
        <w:rPr>
          <w:rFonts w:ascii="仿宋_GB2312" w:hAnsi="仿宋_GB2312" w:eastAsia="仿宋_GB2312"/>
          <w:b w:val="0"/>
          <w:sz w:val="32"/>
        </w:rPr>
        <w:t>需重点关注营商环境持续优化，扩大“服务管家”覆盖面。从优化看，应支持企业参与国际标准、融入全球网络。，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总体看，应建立集群动态评估机制，以评促建，推动高端软件特色产业集群高质量发展。，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区域错位协同有助于放大本地的特色竞争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舜网：现代工业体系提档升级 济南高新区规上电子信息制造业年营收突破1500亿元（https://www.toutiao.com/article/7546108053305754150/）</w:t>
      </w:r>
    </w:p>
    <w:p>
      <w:pPr>
        <w:spacing w:lineRule="exact" w:line="600" w:after="0"/>
        <w:ind w:firstLine="0"/>
      </w:pPr>
      <w:r>
        <w:rPr>
          <w:rFonts w:ascii="仿宋_GB2312" w:hAnsi="仿宋_GB2312" w:eastAsia="仿宋_GB2312"/>
          <w:b w:val="0"/>
          <w:sz w:val="32"/>
        </w:rPr>
        <w:t>2. 济南高新区：一组第一名！济南高新区在全省开发区绩效考核中斩获佳绩（https://innovation.jinan.gov.cn/col/col127084/art/2026/art_d1e4a2f264484110af2b59f41c7cea06.html）</w:t>
      </w:r>
    </w:p>
    <w:p>
      <w:pPr>
        <w:spacing w:lineRule="exact" w:line="600" w:after="0"/>
        <w:ind w:firstLine="0"/>
      </w:pPr>
      <w:r>
        <w:rPr>
          <w:rFonts w:ascii="仿宋_GB2312" w:hAnsi="仿宋_GB2312" w:eastAsia="仿宋_GB2312"/>
          <w:b w:val="0"/>
          <w:sz w:val="32"/>
        </w:rPr>
        <w:t>3. 济南高新区：创新为翼 纵深推进“三次创业”（https://innovation.jinan.gov.cn/col71988/art/2026/art_71988_4834646.html）</w:t>
      </w:r>
    </w:p>
    <w:p>
      <w:pPr>
        <w:spacing w:lineRule="exact" w:line="600" w:after="0"/>
        <w:ind w:firstLine="0"/>
      </w:pPr>
      <w:r>
        <w:rPr>
          <w:rFonts w:ascii="仿宋_GB2312" w:hAnsi="仿宋_GB2312" w:eastAsia="仿宋_GB2312"/>
          <w:b w:val="0"/>
          <w:sz w:val="32"/>
        </w:rPr>
        <w:t>4. 大众新闻：CCPC济南站再燃激情！齐鲁软件园硬核实力撑起人才与产业高地（https://new.qq.com/rain/a/20251116A0540C00?refer=cp_1009）</w:t>
      </w:r>
    </w:p>
    <w:p>
      <w:pPr>
        <w:spacing w:lineRule="exact" w:line="600" w:after="0"/>
        <w:ind w:firstLine="0"/>
      </w:pPr>
      <w:r>
        <w:rPr>
          <w:rFonts w:ascii="仿宋_GB2312" w:hAnsi="仿宋_GB2312" w:eastAsia="仿宋_GB2312"/>
          <w:b w:val="0"/>
          <w:sz w:val="32"/>
        </w:rPr>
        <w:t>5. 中国日报网：工业软件扎根 济南高新区构建创新发展新高地（https://cn.chinadaily.com.cn/a/202507/02/WS6864efb6a3106af2b3c721fa.html）</w:t>
      </w:r>
    </w:p>
    <w:p>
      <w:pPr>
        <w:spacing w:lineRule="exact" w:line="600" w:after="0"/>
        <w:ind w:firstLine="0"/>
      </w:pPr>
      <w:r>
        <w:rPr>
          <w:rFonts w:ascii="仿宋_GB2312" w:hAnsi="仿宋_GB2312" w:eastAsia="仿宋_GB2312"/>
          <w:b w:val="0"/>
          <w:sz w:val="32"/>
        </w:rPr>
        <w:t>6. 网易：济南软件产业聚势领跑（https://www.163.com/dy/article/L1S2SDV80514CQIE.html）</w:t>
      </w:r>
    </w:p>
    <w:p>
      <w:pPr>
        <w:spacing w:lineRule="exact" w:line="600" w:after="0"/>
        <w:ind w:firstLine="0"/>
      </w:pPr>
      <w:r>
        <w:rPr>
          <w:rFonts w:ascii="仿宋_GB2312" w:hAnsi="仿宋_GB2312" w:eastAsia="仿宋_GB2312"/>
          <w:b w:val="0"/>
          <w:sz w:val="32"/>
        </w:rPr>
        <w:t>7. 济南日报：一束光与一行代码，照见济南智造底座（http://jnrb.e23.cn/jnrb/html/2026/20260720/20260720_001/jnrb_20260720_00000_001_2078915740863901703.html）</w:t>
      </w:r>
    </w:p>
    <w:p>
      <w:pPr>
        <w:spacing w:lineRule="exact" w:line="600" w:after="0"/>
        <w:ind w:firstLine="0"/>
      </w:pPr>
      <w:r>
        <w:rPr>
          <w:rFonts w:ascii="仿宋_GB2312" w:hAnsi="仿宋_GB2312" w:eastAsia="仿宋_GB2312"/>
          <w:b w:val="0"/>
          <w:sz w:val="32"/>
        </w:rPr>
        <w:t>8. 新黄河：济南工业软件“突围”，激活“智造”升级新动能（https://m.toutiao.com/article/7519317809579508234/）</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