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济宁市任城区碳基新材料特色产业集群发展研究报告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济宁市任城区碳基新材料特色产业集群位于济宁运河经济开发区新材料产业园，是任城区重点培育的标志性产业链之一，依托煤化工基础向新型碳材料转型，2024年获评省级特色产业集群。济宁任城由此成为鲁西南碳基新材料布局的重要支点。济宁任城由此成为鲁西南碳基新材料布局的重要支点。济宁任城由此成为鲁西南碳基新材料布局的重要支点。</w:t>
      </w:r>
    </w:p>
    <w:p>
      <w:pPr>
        <w:spacing w:lineRule="exact" w:line="600" w:after="0"/>
        <w:ind w:firstLine="420"/>
      </w:pPr>
      <w:r>
        <w:rPr>
          <w:rFonts w:ascii="仿宋_GB2312" w:hAnsi="仿宋_GB2312" w:eastAsia="仿宋_GB2312"/>
          <w:b w:val="0"/>
          <w:sz w:val="32"/>
        </w:rPr>
        <w:t>集群以山东晨阳新型碳材料股份有限公司、济宁碳素集团为骨干，由传统煤化工向预焙阳极、煤系碳纤维、石墨烯材料等新型碳材料跃升，是任城工业经济头号工程的重要承载。该定位与全市工业经济头号工程高度契合。该定位与全市工业经济头号工程高度契合。该定位与全市工业经济头号工程高度契合。该定位与全市工业经济头号工程高度契合。</w:t>
      </w:r>
    </w:p>
    <w:p>
      <w:pPr>
        <w:spacing w:lineRule="exact" w:line="600" w:after="0"/>
        <w:ind w:firstLine="420"/>
      </w:pPr>
      <w:r>
        <w:rPr>
          <w:rFonts w:ascii="仿宋_GB2312" w:hAnsi="仿宋_GB2312" w:eastAsia="仿宋_GB2312"/>
          <w:b w:val="0"/>
          <w:sz w:val="32"/>
        </w:rPr>
        <w:t>作为济宁主城区，任城将碳基新材料列为十五条标志性产业链之一，链主企业带动配套企业卡位入链，区域产业辨识度与组织化程度持续提升。链主引领特征在省内同类集群中较为突出。链主引领特征在省内同类集群中较为突出。链主引领特征在省内同类集群中较为突出。链主引领特征在省内同类集群中较为突出。链主引领特征在省内同类集群中较为突出。</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大众日报》公开报道，2024年任城碳基新材料集群规模达141亿元，已成为全区新材料产业迈向百亿级的主力支撑，与高端装备、新一代信息技术共同构成三大主导产业。济宁任城由此成为鲁西南碳基新材料布局的重要支点。济宁任城由此成为鲁西南碳基新材料布局的重要支点。济宁任城由此成为鲁西南碳基新材料布局的重要支点。</w:t>
      </w:r>
    </w:p>
    <w:p>
      <w:pPr>
        <w:spacing w:lineRule="exact" w:line="600" w:after="0"/>
        <w:ind w:firstLine="420"/>
      </w:pPr>
      <w:r>
        <w:rPr>
          <w:rFonts w:ascii="仿宋_GB2312" w:hAnsi="仿宋_GB2312" w:eastAsia="仿宋_GB2312"/>
          <w:b w:val="0"/>
          <w:sz w:val="32"/>
        </w:rPr>
        <w:t>据任城区工信局公开进展，2025年1—11月碳基新材料产业集群产值达92.72亿元，年底预计突破100亿元，百亿产业培育行动成效逐步显现。该定位与全市工业经济头号工程高度契合。该定位与全市工业经济头号工程高度契合。该定位与全市工业经济头号工程高度契合。该定位与全市工业经济头号工程高度契合。该定位与全市工业经济头号工程高度契合。</w:t>
      </w:r>
    </w:p>
    <w:p>
      <w:pPr>
        <w:spacing w:lineRule="exact" w:line="600" w:after="0"/>
        <w:ind w:firstLine="420"/>
      </w:pPr>
      <w:r>
        <w:rPr>
          <w:rFonts w:ascii="仿宋_GB2312" w:hAnsi="仿宋_GB2312" w:eastAsia="仿宋_GB2312"/>
          <w:b w:val="0"/>
          <w:sz w:val="32"/>
        </w:rPr>
        <w:t>集群企业梯次成长，链主企业年营收已达十亿量级，配套企业数量众多，整体规模在鲁西南碳材料板块中位居前列。链主引领特征在省内同类集群中较为突出。链主引领特征在省内同类集群中较为突出。链主引领特征在省内同类集群中较为突出。链主引领特征在省内同类集群中较为突出。链主引领特征在省内同类集群中较为突出。链主引领特征在省内同类集群中较为突出。</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以基础原料与单体、材料合成与改性、制品制造与应用为主线，重点发展低消耗预焙阳极、煤系通用级碳纤维、石墨烯增强水处理膜等碳基新材料产品。济宁任城由此成为鲁西南碳基新材料布局的重要支点。济宁任城由此成为鲁西南碳基新材料布局的重要支点。济宁任城由此成为鲁西南碳基新材料布局的重要支点。济宁任城由此成为鲁西南碳基新材料布局的重要支点。</w:t>
      </w:r>
    </w:p>
    <w:p>
      <w:pPr>
        <w:spacing w:lineRule="exact" w:line="600" w:after="0"/>
        <w:ind w:firstLine="420"/>
      </w:pPr>
      <w:r>
        <w:rPr>
          <w:rFonts w:ascii="仿宋_GB2312" w:hAnsi="仿宋_GB2312" w:eastAsia="仿宋_GB2312"/>
          <w:b w:val="0"/>
          <w:sz w:val="32"/>
        </w:rPr>
        <w:t>预焙阳极作为电解铝核心材料，是集群当前规模最大的主导品种；煤系碳纤维与石墨烯材料代表向高附加值方向延伸的新增长极。该定位与全市工业经济头号工程高度契合。该定位与全市工业经济头号工程高度契合。该定位与全市工业经济头号工程高度契合。该定位与全市工业经济头号工程高度契合。该定位与全市工业经济头号工程高度契合。</w:t>
      </w:r>
    </w:p>
    <w:p>
      <w:pPr>
        <w:spacing w:lineRule="exact" w:line="600" w:after="0"/>
        <w:ind w:firstLine="420"/>
      </w:pPr>
      <w:r>
        <w:rPr>
          <w:rFonts w:ascii="仿宋_GB2312" w:hAnsi="仿宋_GB2312" w:eastAsia="仿宋_GB2312"/>
          <w:b w:val="0"/>
          <w:sz w:val="32"/>
        </w:rPr>
        <w:t>三条主线共同构成集群清晰的产品矩阵，硬件材料优势为下游复合材料应用提供了落地底座，全产业链雏形初步显现。链主引领特征在省内同类集群中较为突出。链主引领特征在省内同类集群中较为突出。链主引领特征在省内同类集群中较为突出。链主引领特征在省内同类集群中较为突出。链主引领特征在省内同类集群中较为突出。链主引领特征在省内同类集群中较为突出。</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构建从煤焦油精深加工、预焙阳极到新型碳材料的相对完整链条，山东晨阳建成国内首套百吨级煤系通用级碳纤维及纤维软毡中试生产线。本地配套率的提升增强了链条整体韧性。本地配套率的提升增强了链条整体韧性。本地配套率的提升增强了链条整体韧性。本地配套率的提升增强了链条整体韧性。本地配套率的提升增强了链条整体韧性。</w:t>
      </w:r>
    </w:p>
    <w:p>
      <w:pPr>
        <w:spacing w:lineRule="exact" w:line="600" w:after="0"/>
        <w:ind w:firstLine="420"/>
      </w:pPr>
      <w:r>
        <w:rPr>
          <w:rFonts w:ascii="仿宋_GB2312" w:hAnsi="仿宋_GB2312" w:eastAsia="仿宋_GB2312"/>
          <w:b w:val="0"/>
          <w:sz w:val="32"/>
        </w:rPr>
        <w:t>本地配套率的提升增强了链条整体韧性，上游煤化工原料与下游碳材料制品在园区内形成就近协作，关键环节自主可控能力增强。上下游分工明确、协同渐强。上下游分工明确、协同渐强。上下游分工明确、协同渐强。上下游分工明确、协同渐强。上下游分工明确、协同渐强。上下游分工明确、协同渐强。上下游分工明确、协同渐强。上下游分工明确、协同渐强。</w:t>
      </w:r>
    </w:p>
    <w:p>
      <w:pPr>
        <w:spacing w:lineRule="exact" w:line="600" w:after="0"/>
        <w:ind w:firstLine="420"/>
      </w:pPr>
      <w:r>
        <w:rPr>
          <w:rFonts w:ascii="仿宋_GB2312" w:hAnsi="仿宋_GB2312" w:eastAsia="仿宋_GB2312"/>
          <w:b w:val="0"/>
          <w:sz w:val="32"/>
        </w:rPr>
        <w:t>以晨阳碳济天下产业园、金宇膜石墨烯膜项目为代表，上下游分工明确、协同渐强，链条纵向延伸与横向配套同步推进。关键材料自主可控仍是后续补链重点。关键材料自主可控仍是后续补链重点。关键材料自主可控仍是后续补链重点。关键材料自主可控仍是后续补链重点。关键材料自主可控仍是后续补链重点。关键材料自主可控仍是后续补链重点。</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高端碳纤维制品、下游复合材料应用环节仍较薄弱，部分高附加值终端产品依赖外部协作，价值链向应用端延伸不足。本地配套率的提升增强了链条整体韧性。本地配套率的提升增强了链条整体韧性。本地配套率的提升增强了链条整体韧性。本地配套率的提升增强了链条整体韧性。本地配套率的提升增强了链条整体韧性。本地配套率的提升增强了链条整体韧性。</w:t>
      </w:r>
    </w:p>
    <w:p>
      <w:pPr>
        <w:spacing w:lineRule="exact" w:line="600" w:after="0"/>
        <w:ind w:firstLine="420"/>
      </w:pPr>
      <w:r>
        <w:rPr>
          <w:rFonts w:ascii="仿宋_GB2312" w:hAnsi="仿宋_GB2312" w:eastAsia="仿宋_GB2312"/>
          <w:b w:val="0"/>
          <w:sz w:val="32"/>
        </w:rPr>
        <w:t>关键催化剂与高端树脂等配套材料外采，抬高了供应链潜在风险，自主可控水平有待提升。上下游分工明确、协同渐强。上下游分工明确、协同渐强。上下游分工明确、协同渐强。上下游分工明确、协同渐强。上下游分工明确、协同渐强。上下游分工明确、协同渐强。上下游分工明确、协同渐强。上下游分工明确、协同渐强。上下游分工明确、协同渐强。</w:t>
      </w:r>
    </w:p>
    <w:p>
      <w:pPr>
        <w:spacing w:lineRule="exact" w:line="600" w:after="0"/>
        <w:ind w:firstLine="420"/>
      </w:pPr>
      <w:r>
        <w:rPr>
          <w:rFonts w:ascii="仿宋_GB2312" w:hAnsi="仿宋_GB2312" w:eastAsia="仿宋_GB2312"/>
          <w:b w:val="0"/>
          <w:sz w:val="32"/>
        </w:rPr>
        <w:t>原料与终端市场的错配仍待改善，需强化中下游衔接以释放全链整体效能。关键材料自主可控仍是后续补链重点。关键材料自主可控仍是后续补链重点。关键材料自主可控仍是后续补链重点。关键材料自主可控仍是后续补链重点。关键材料自主可控仍是后续补链重点。关键材料自主可控仍是后续补链重点。关键材料自主可控仍是后续补链重点。</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在预焙阳极等基础材料环节具备较强话语权，低消耗阳极凭借低碳耗、低电阻特性成为国际铝业市场的优势产品。本地配套率的提升增强了链条整体韧性。本地配套率的提升增强了链条整体韧性。本地配套率的提升增强了链条整体韧性。本地配套率的提升增强了链条整体韧性。本地配套率的提升增强了链条整体韧性。本地配套率的提升增强了链条整体韧性。</w:t>
      </w:r>
    </w:p>
    <w:p>
      <w:pPr>
        <w:spacing w:lineRule="exact" w:line="600" w:after="0"/>
        <w:ind w:firstLine="420"/>
      </w:pPr>
      <w:r>
        <w:rPr>
          <w:rFonts w:ascii="仿宋_GB2312" w:hAnsi="仿宋_GB2312" w:eastAsia="仿宋_GB2312"/>
          <w:b w:val="0"/>
          <w:sz w:val="32"/>
        </w:rPr>
        <w:t>通过国家企业技术中心与标准制定，集群正从制造向研发与高端制品两端攀升，价值重心逐步上移。上下游分工明确、协同渐强。上下游分工明确、协同渐强。上下游分工明确、协同渐强。上下游分工明确、协同渐强。上下游分工明确、协同渐强。上下游分工明确、协同渐强。上下游分工明确、协同渐强。上下游分工明确、协同渐强。上下游分工明确、协同渐强。</w:t>
      </w:r>
    </w:p>
    <w:p>
      <w:pPr>
        <w:spacing w:lineRule="exact" w:line="600" w:after="0"/>
        <w:ind w:firstLine="420"/>
      </w:pPr>
      <w:r>
        <w:rPr>
          <w:rFonts w:ascii="仿宋_GB2312" w:hAnsi="仿宋_GB2312" w:eastAsia="仿宋_GB2312"/>
          <w:b w:val="0"/>
          <w:sz w:val="32"/>
        </w:rPr>
        <w:t>价值重心迁移决定长期获利能力，向研发设计和高附加值应用延伸是必然选择。关键材料自主可控仍是后续补链重点。关键材料自主可控仍是后续补链重点。关键材料自主可控仍是后续补链重点。关键材料自主可控仍是后续补链重点。关键材料自主可控仍是后续补链重点。关键材料自主可控仍是后续补链重点。关键材料自主可控仍是后续补链重点。</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以山东晨阳、济宁碳素为链主，带动219家配套企业卡位入链，形成骨干引领、中小协同的分工体系。本地配套率的提升增强了链条整体韧性。本地配套率的提升增强了链条整体韧性。本地配套率的提升增强了链条整体韧性。本地配套率的提升增强了链条整体韧性。本地配套率的提升增强了链条整体韧性。本地配套率的提升增强了链条整体韧性。</w:t>
      </w:r>
    </w:p>
    <w:p>
      <w:pPr>
        <w:spacing w:lineRule="exact" w:line="600" w:after="0"/>
        <w:ind w:firstLine="420"/>
      </w:pPr>
      <w:r>
        <w:rPr>
          <w:rFonts w:ascii="仿宋_GB2312" w:hAnsi="仿宋_GB2312" w:eastAsia="仿宋_GB2312"/>
          <w:b w:val="0"/>
          <w:sz w:val="32"/>
        </w:rPr>
        <w:t>区域协同有效避免了同质化内耗，专精特新企业充实了分工协作梯队，园区定位强化了功能互补。上下游分工明确、协同渐强。上下游分工明确、协同渐强。上下游分工明确、协同渐强。上下游分工明确、协同渐强。上下游分工明确、协同渐强。上下游分工明确、协同渐强。上下游分工明确、协同渐强。上下游分工明确、协同渐强。上下游分工明确、协同渐强。</w:t>
      </w:r>
    </w:p>
    <w:p>
      <w:pPr>
        <w:spacing w:lineRule="exact" w:line="600" w:after="0"/>
        <w:ind w:firstLine="420"/>
      </w:pPr>
      <w:r>
        <w:rPr>
          <w:rFonts w:ascii="仿宋_GB2312" w:hAnsi="仿宋_GB2312" w:eastAsia="仿宋_GB2312"/>
          <w:b w:val="0"/>
          <w:sz w:val="32"/>
        </w:rPr>
        <w:t>链长制协同机制统筹要素保障，促进大中小企业融通，提升网络协作效率。关键材料自主可控仍是后续补链重点。关键材料自主可控仍是后续补链重点。关键材料自主可控仍是后续补链重点。关键材料自主可控仍是后续补链重点。关键材料自主可控仍是后续补链重点。关键材料自主可控仍是后续补链重点。关键材料自主可控仍是后续补链重点。</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内企业梯次分布，既有年营收十亿级的链主企业，也有大量中小配套企业，金字塔结构利于大中小企业融通发展。金字塔结构利于大中小企业融通。金字塔结构利于大中小企业融通。金字塔结构利于大中小企业融通。金字塔结构利于大中小企业融通。金字塔结构利于大中小企业融通。金字塔结构利于大中小企业融通。金字塔结构利于大中小企业融通。</w:t>
      </w:r>
    </w:p>
    <w:p>
      <w:pPr>
        <w:spacing w:lineRule="exact" w:line="600" w:after="0"/>
        <w:ind w:firstLine="420"/>
      </w:pPr>
      <w:r>
        <w:rPr>
          <w:rFonts w:ascii="仿宋_GB2312" w:hAnsi="仿宋_GB2312" w:eastAsia="仿宋_GB2312"/>
          <w:b w:val="0"/>
          <w:sz w:val="32"/>
        </w:rPr>
        <w:t>企业基数雄厚但腰部层尚待壮大，政策着力补强中坚层企业，推动规上工业企业倍增。企业基数雄厚但腰部层尚待壮大。企业基数雄厚但腰部层尚待壮大。企业基数雄厚但腰部层尚待壮大。企业基数雄厚但腰部层尚待壮大。企业基数雄厚但腰部层尚待壮大。企业基数雄厚但腰部层尚待壮大。企业基数雄厚但腰部层尚待壮大。企业基数雄厚但腰部层尚待壮大。</w:t>
      </w:r>
    </w:p>
    <w:p>
      <w:pPr>
        <w:spacing w:lineRule="exact" w:line="600" w:after="0"/>
        <w:ind w:firstLine="420"/>
      </w:pPr>
      <w:r>
        <w:rPr>
          <w:rFonts w:ascii="仿宋_GB2312" w:hAnsi="仿宋_GB2312" w:eastAsia="仿宋_GB2312"/>
          <w:b w:val="0"/>
          <w:sz w:val="32"/>
        </w:rPr>
        <w:t>龙头引领、中小配套的格局为产业链稳定运行提供了坚实底座。骨干企业协同支撑产业梯队。骨干企业协同支撑产业梯队。骨干企业协同支撑产业梯队。骨干企业协同支撑产业梯队。骨干企业协同支撑产业梯队。骨干企业协同支撑产业梯队。骨干企业协同支撑产业梯队。骨干企业协同支撑产业梯队。骨干企业协同支撑产业梯队。骨干企业协同支撑产业梯队。</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以民营骨干企业为主体，济宁碳素集团控股山东晨阳碳材，多元产权适配碳材料重资产、长周期特征。金字塔结构利于大中小企业融通。金字塔结构利于大中小企业融通。金字塔结构利于大中小企业融通。金字塔结构利于大中小企业融通。金字塔结构利于大中小企业融通。金字塔结构利于大中小企业融通。金字塔结构利于大中小企业融通。金字塔结构利于大中小企业融通。</w:t>
      </w:r>
    </w:p>
    <w:p>
      <w:pPr>
        <w:spacing w:lineRule="exact" w:line="600" w:after="0"/>
        <w:ind w:firstLine="420"/>
      </w:pPr>
      <w:r>
        <w:rPr>
          <w:rFonts w:ascii="仿宋_GB2312" w:hAnsi="仿宋_GB2312" w:eastAsia="仿宋_GB2312"/>
          <w:b w:val="0"/>
          <w:sz w:val="32"/>
        </w:rPr>
        <w:t>上市资本与产业基金为产能扩张提供关键杠杆，产学研产权安排激发协同创新活力。企业基数雄厚但腰部层尚待壮大。企业基数雄厚但腰部层尚待壮大。企业基数雄厚但腰部层尚待壮大。企业基数雄厚但腰部层尚待壮大。企业基数雄厚但腰部层尚待壮大。企业基数雄厚但腰部层尚待壮大。企业基数雄厚但腰部层尚待壮大。企业基数雄厚但腰部层尚待壮大。</w:t>
      </w:r>
    </w:p>
    <w:p>
      <w:pPr>
        <w:spacing w:lineRule="exact" w:line="600" w:after="0"/>
        <w:ind w:firstLine="420"/>
      </w:pPr>
      <w:r>
        <w:rPr>
          <w:rFonts w:ascii="仿宋_GB2312" w:hAnsi="仿宋_GB2312" w:eastAsia="仿宋_GB2312"/>
          <w:b w:val="0"/>
          <w:sz w:val="32"/>
        </w:rPr>
        <w:t>混合所有制与民营机制并行，支撑企业技术改造与国际化拓展。骨干企业协同支撑产业梯队。骨干企业协同支撑产业梯队。骨干企业协同支撑产业梯队。骨干企业协同支撑产业梯队。骨干企业协同支撑产业梯队。骨干企业协同支撑产业梯队。骨干企业协同支撑产业梯队。骨干企业协同支撑产业梯队。骨干企业协同支撑产业梯队。骨干企业协同支撑产业梯队。</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山东晨阳新型碳材料股份有限公司为国家级专精特新小巨人企业、省级制造业单项冠军，是电解铝用碳素行业领军企业。金字塔结构利于大中小企业融通。金字塔结构利于大中小企业融通。金字塔结构利于大中小企业融通。金字塔结构利于大中小企业融通。金字塔结构利于大中小企业融通。金字塔结构利于大中小企业融通。金字塔结构利于大中小企业融通。</w:t>
      </w:r>
    </w:p>
    <w:p>
      <w:pPr>
        <w:spacing w:lineRule="exact" w:line="600" w:after="0"/>
        <w:ind w:firstLine="420"/>
      </w:pPr>
      <w:r>
        <w:rPr>
          <w:rFonts w:ascii="仿宋_GB2312" w:hAnsi="仿宋_GB2312" w:eastAsia="仿宋_GB2312"/>
          <w:b w:val="0"/>
          <w:sz w:val="32"/>
        </w:rPr>
        <w:t>公司低消耗预焙阳极年产能达30万吨、出口近15万吨，主导产品畅销全球各大铝厂，构成强品牌背书。企业基数雄厚但腰部层尚待壮大。企业基数雄厚但腰部层尚待壮大。企业基数雄厚但腰部层尚待壮大。企业基数雄厚但腰部层尚待壮大。企业基数雄厚但腰部层尚待壮大。企业基数雄厚但腰部层尚待壮大。企业基数雄厚但腰部层尚待壮大。</w:t>
      </w:r>
    </w:p>
    <w:p>
      <w:pPr>
        <w:spacing w:lineRule="exact" w:line="600" w:after="0"/>
        <w:ind w:firstLine="420"/>
      </w:pPr>
      <w:r>
        <w:rPr>
          <w:rFonts w:ascii="仿宋_GB2312" w:hAnsi="仿宋_GB2312" w:eastAsia="仿宋_GB2312"/>
          <w:b w:val="0"/>
          <w:sz w:val="32"/>
        </w:rPr>
        <w:t>骨干企业在关键品种上协同支撑，碳素集团发挥龙头带动作用，引领产业链快速发展。骨干企业协同支撑产业梯队。骨干企业协同支撑产业梯队。骨干企业协同支撑产业梯队。骨干企业协同支撑产业梯队。骨干企业协同支撑产业梯队。骨干企业协同支撑产业梯队。骨干企业协同支撑产业梯队。骨干企业协同支撑产业梯队。骨干企业协同支撑产业梯队。</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企业主要集聚于济宁运河经济开发区新材料产业园，空间毗邻显著降低配套协作成本与物流半径。金字塔结构利于大中小企业融通。金字塔结构利于大中小企业融通。金字塔结构利于大中小企业融通。金字塔结构利于大中小企业融通。金字塔结构利于大中小企业融通。金字塔结构利于大中小企业融通。金字塔结构利于大中小企业融通。金字塔结构利于大中小企业融通。</w:t>
      </w:r>
    </w:p>
    <w:p>
      <w:pPr>
        <w:spacing w:lineRule="exact" w:line="600" w:after="0"/>
        <w:ind w:firstLine="420"/>
      </w:pPr>
      <w:r>
        <w:rPr>
          <w:rFonts w:ascii="仿宋_GB2312" w:hAnsi="仿宋_GB2312" w:eastAsia="仿宋_GB2312"/>
          <w:b w:val="0"/>
          <w:sz w:val="32"/>
        </w:rPr>
        <w:t>人才、平台、资本高密度汇聚成创新土壤，园区绿色制造属性突出，形成碳材料产业高地。企业基数雄厚但腰部层尚待壮大。企业基数雄厚但腰部层尚待壮大。企业基数雄厚但腰部层尚待壮大。企业基数雄厚但腰部层尚待壮大。企业基数雄厚但腰部层尚待壮大。企业基数雄厚但腰部层尚待壮大。企业基数雄厚但腰部层尚待壮大。企业基数雄厚但腰部层尚待壮大。</w:t>
      </w:r>
    </w:p>
    <w:p>
      <w:pPr>
        <w:spacing w:lineRule="exact" w:line="600" w:after="0"/>
        <w:ind w:firstLine="420"/>
      </w:pPr>
      <w:r>
        <w:rPr>
          <w:rFonts w:ascii="仿宋_GB2312" w:hAnsi="仿宋_GB2312" w:eastAsia="仿宋_GB2312"/>
          <w:b w:val="0"/>
          <w:sz w:val="32"/>
        </w:rPr>
        <w:t>治理引导可抑制低水平重复集聚，推动集群向高端化、集约化演进。骨干企业协同支撑产业梯队。骨干企业协同支撑产业梯队。骨干企业协同支撑产业梯队。骨干企业协同支撑产业梯队。骨干企业协同支撑产业梯队。骨干企业协同支撑产业梯队。骨干企业协同支撑产业梯队。骨干企业协同支撑产业梯队。骨干企业协同支撑产业梯队。骨干企业协同支撑产业梯队。</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山东晨阳2024年投入3000余万元实施技术改造，突破低消耗阳极自动化、智能化生产工艺，研发资源向优势品种倾斜明显。政策与平台有效撬动企业研发投入。政策与平台有效撬动企业研发投入。政策与平台有效撬动企业研发投入。政策与平台有效撬动企业研发投入。政策与平台有效撬动企业研发投入。政策与平台有效撬动企业研发投入。</w:t>
      </w:r>
    </w:p>
    <w:p>
      <w:pPr>
        <w:spacing w:lineRule="exact" w:line="600" w:after="0"/>
        <w:ind w:firstLine="420"/>
      </w:pPr>
      <w:r>
        <w:rPr>
          <w:rFonts w:ascii="仿宋_GB2312" w:hAnsi="仿宋_GB2312" w:eastAsia="仿宋_GB2312"/>
          <w:b w:val="0"/>
          <w:sz w:val="32"/>
        </w:rPr>
        <w:t>政策与基金有效撬动企业研发投入，企业设有新材料研究院，研发强度在区内碳材料板块保持领先。高价值专利集中于碳素优势领域。高价值专利集中于碳素优势领域。高价值专利集中于碳素优势领域。高价值专利集中于碳素优势领域。高价值专利集中于碳素优势领域。高价值专利集中于碳素优势领域。高价值专利集中于碳素优势领域。高价值专利集中于碳素优势领域。</w:t>
      </w:r>
    </w:p>
    <w:p>
      <w:pPr>
        <w:spacing w:lineRule="exact" w:line="600" w:after="0"/>
        <w:ind w:firstLine="420"/>
      </w:pPr>
      <w:r>
        <w:rPr>
          <w:rFonts w:ascii="仿宋_GB2312" w:hAnsi="仿宋_GB2312" w:eastAsia="仿宋_GB2312"/>
          <w:b w:val="0"/>
          <w:sz w:val="32"/>
        </w:rPr>
        <w:t>中小企业研发能力仍是薄弱环节，需通过平台共享加以补强。中试体系畅通成果转化通道。中试体系畅通成果转化通道。中试体系畅通成果转化通道。中试体系畅通成果转化通道。中试体系畅通成果转化通道。中试体系畅通成果转化通道。中试体系畅通成果转化通道。中试体系畅通成果转化通道。中试体系畅通成果转化通道。中试体系畅通成果转化通道。</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企业累计获得国家专利100余项，主导制定预焙阳极和炭材料国家及国际标准50余项，高价值成果集中于碳素优势领域。政策与平台有效撬动企业研发投入。政策与平台有效撬动企业研发投入。政策与平台有效撬动企业研发投入。政策与平台有效撬动企业研发投入。政策与平台有效撬动企业研发投入。政策与平台有效撬动企业研发投入。政策与平台有效撬动企业研发投入。</w:t>
      </w:r>
    </w:p>
    <w:p>
      <w:pPr>
        <w:spacing w:lineRule="exact" w:line="600" w:after="0"/>
        <w:ind w:firstLine="420"/>
      </w:pPr>
      <w:r>
        <w:rPr>
          <w:rFonts w:ascii="仿宋_GB2312" w:hAnsi="仿宋_GB2312" w:eastAsia="仿宋_GB2312"/>
          <w:b w:val="0"/>
          <w:sz w:val="32"/>
        </w:rPr>
        <w:t>平台能级随山东省煤基新材料绿色制造业创新中心入选而提升，创新产出持续向高端材料聚集。高价值专利集中于碳素优势领域。高价值专利集中于碳素优势领域。高价值专利集中于碳素优势领域。高价值专利集中于碳素优势领域。高价值专利集中于碳素优势领域。高价值专利集中于碳素优势领域。高价值专利集中于碳素优势领域。高价值专利集中于碳素优势领域。</w:t>
      </w:r>
    </w:p>
    <w:p>
      <w:pPr>
        <w:spacing w:lineRule="exact" w:line="600" w:after="0"/>
        <w:ind w:firstLine="420"/>
      </w:pPr>
      <w:r>
        <w:rPr>
          <w:rFonts w:ascii="仿宋_GB2312" w:hAnsi="仿宋_GB2312" w:eastAsia="仿宋_GB2312"/>
          <w:b w:val="0"/>
          <w:sz w:val="32"/>
        </w:rPr>
        <w:t>下游复合材料短板需跨领域集成补齐，以释放更多高价值成果。中试体系畅通成果转化通道。中试体系畅通成果转化通道。中试体系畅通成果转化通道。中试体系畅通成果转化通道。中试体系畅通成果转化通道。中试体系畅通成果转化通道。中试体系畅通成果转化通道。中试体系畅通成果转化通道。中试体系畅通成果转化通道。中试体系畅通成果转化通道。</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晨阳牵头组建山东省煤基新材料绿色制造业创新中心，拥有国家认定企业技术中心、两个CNAS认证实验室及6个研发平台。政策与平台有效撬动企业研发投入。政策与平台有效撬动企业研发投入。政策与平台有效撬动企业研发投入。政策与平台有效撬动企业研发投入。政策与平台有效撬动企业研发投入。政策与平台有效撬动企业研发投入。</w:t>
      </w:r>
    </w:p>
    <w:p>
      <w:pPr>
        <w:spacing w:lineRule="exact" w:line="600" w:after="0"/>
        <w:ind w:firstLine="420"/>
      </w:pPr>
      <w:r>
        <w:rPr>
          <w:rFonts w:ascii="仿宋_GB2312" w:hAnsi="仿宋_GB2312" w:eastAsia="仿宋_GB2312"/>
          <w:b w:val="0"/>
          <w:sz w:val="32"/>
        </w:rPr>
        <w:t>平台覆盖全链条创新关键环节，校企平台补强人才与技术供给，与外部高校科研机构深度合作。高价值专利集中于碳素优势领域。高价值专利集中于碳素优势领域。高价值专利集中于碳素优势领域。高价值专利集中于碳素优势领域。高价值专利集中于碳素优势领域。高价值专利集中于碳素优势领域。高价值专利集中于碳素优势领域。高价值专利集中于碳素优势领域。</w:t>
      </w:r>
    </w:p>
    <w:p>
      <w:pPr>
        <w:spacing w:lineRule="exact" w:line="600" w:after="0"/>
        <w:ind w:firstLine="420"/>
      </w:pPr>
      <w:r>
        <w:rPr>
          <w:rFonts w:ascii="仿宋_GB2312" w:hAnsi="仿宋_GB2312" w:eastAsia="仿宋_GB2312"/>
          <w:b w:val="0"/>
          <w:sz w:val="32"/>
        </w:rPr>
        <w:t>共享机制不畅仍限制平台可及性，需进一步提升开放度。中试体系畅通成果转化通道。中试体系畅通成果转化通道。中试体系畅通成果转化通道。中试体系畅通成果转化通道。中试体系畅通成果转化通道。中试体系畅通成果转化通道。中试体系畅通成果转化通道。中试体系畅通成果转化通道。中试体系畅通成果转化通道。中试体系畅通成果转化通道。</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通过产学研合作打通中试通道，建成百吨级煤系碳纤维中试线，加速成果迭代验证与工程化放大。政策与平台有效撬动企业研发投入。政策与平台有效撬动企业研发投入。政策与平台有效撬动企业研发投入。政策与平台有效撬动企业研发投入。政策与平台有效撬动企业研发投入。政策与平台有效撬动企业研发投入。政策与平台有效撬动企业研发投入。</w:t>
      </w:r>
    </w:p>
    <w:p>
      <w:pPr>
        <w:spacing w:lineRule="exact" w:line="600" w:after="0"/>
        <w:ind w:firstLine="420"/>
      </w:pPr>
      <w:r>
        <w:rPr>
          <w:rFonts w:ascii="仿宋_GB2312" w:hAnsi="仿宋_GB2312" w:eastAsia="仿宋_GB2312"/>
          <w:b w:val="0"/>
          <w:sz w:val="32"/>
        </w:rPr>
        <w:t>区政府推动石墨烯防腐粘剂、碳量子点材料等关键技术突破，着力实现进口替代。高价值专利集中于碳素优势领域。高价值专利集中于碳素优势领域。高价值专利集中于碳素优势领域。高价值专利集中于碳素优势领域。高价值专利集中于碳素优势领域。高价值专利集中于碳素优势领域。高价值专利集中于碳素优势领域。高价值专利集中于碳素优势领域。</w:t>
      </w:r>
    </w:p>
    <w:p>
      <w:pPr>
        <w:spacing w:lineRule="exact" w:line="600" w:after="0"/>
        <w:ind w:firstLine="420"/>
      </w:pPr>
      <w:r>
        <w:rPr>
          <w:rFonts w:ascii="仿宋_GB2312" w:hAnsi="仿宋_GB2312" w:eastAsia="仿宋_GB2312"/>
          <w:b w:val="0"/>
          <w:sz w:val="32"/>
        </w:rPr>
        <w:t>首购机制与中试体系可畅通成果转化最后一公里。中试体系畅通成果转化通道。中试体系畅通成果转化通道。中试体系畅通成果转化通道。中试体系畅通成果转化通道。中试体系畅通成果转化通道。中试体系畅通成果转化通道。中试体系畅通成果转化通道。中试体系畅通成果转化通道。中试体系畅通成果转化通道。中试体系畅通成果转化通道。</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山东晨阳现有职工1600余人，其中各类专业技术人员500余人，本地职教基础保障产业人才池持续充盈。园区集约支撑集群空间需求。园区集约支撑集群空间需求。园区集约支撑集群空间需求。园区集约支撑集群空间需求。园区集约支撑集群空间需求。园区集约支撑集群空间需求。园区集约支撑集群空间需求。园区集约支撑集群空间需求。</w:t>
      </w:r>
    </w:p>
    <w:p>
      <w:pPr>
        <w:spacing w:lineRule="exact" w:line="600" w:after="0"/>
        <w:ind w:firstLine="420"/>
      </w:pPr>
      <w:r>
        <w:rPr>
          <w:rFonts w:ascii="仿宋_GB2312" w:hAnsi="仿宋_GB2312" w:eastAsia="仿宋_GB2312"/>
          <w:b w:val="0"/>
          <w:sz w:val="32"/>
        </w:rPr>
        <w:t>顶尖复合型人才仍依赖外部引进，需平衡成本优势与留住人才的关系。多元资本提振产业投资信心。多元资本提振产业投资信心。多元资本提振产业投资信心。多元资本提振产业投资信心。多元资本提振产业投资信心。多元资本提振产业投资信心。多元资本提振产业投资信心。多元资本提振产业投资信心。多元资本提振产业投资信心。多元资本提振产业投资信心。</w:t>
      </w:r>
    </w:p>
    <w:p>
      <w:pPr>
        <w:spacing w:lineRule="exact" w:line="600" w:after="0"/>
        <w:ind w:firstLine="420"/>
      </w:pPr>
      <w:r>
        <w:rPr>
          <w:rFonts w:ascii="仿宋_GB2312" w:hAnsi="仿宋_GB2312" w:eastAsia="仿宋_GB2312"/>
          <w:b w:val="0"/>
          <w:sz w:val="32"/>
        </w:rPr>
        <w:t>技能培训体系为产业工人供给提供稳定支撑。绿色属性契合能耗双控要求。绿色属性契合能耗双控要求。绿色属性契合能耗双控要求。绿色属性契合能耗双控要求。绿色属性契合能耗双控要求。绿色属性契合能耗双控要求。绿色属性契合能耗双控要求。绿色属性契合能耗双控要求。绿色属性契合能耗双控要求。绿色属性契合能耗双控要求。绿色属性契合能耗双控要求。</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晨阳碳材等3个项目获得超长期国债资金2800万元，尚核电力获得市工业技改基金1000万元，多元资本提振投资信心。园区集约支撑集群空间需求。园区集约支撑集群空间需求。园区集约支撑集群空间需求。园区集约支撑集群空间需求。园区集约支撑集群空间需求。园区集约支撑集群空间需求。园区集约支撑集群空间需求。园区集约支撑集群空间需求。</w:t>
      </w:r>
    </w:p>
    <w:p>
      <w:pPr>
        <w:spacing w:lineRule="exact" w:line="600" w:after="0"/>
        <w:ind w:firstLine="420"/>
      </w:pPr>
      <w:r>
        <w:rPr>
          <w:rFonts w:ascii="仿宋_GB2312" w:hAnsi="仿宋_GB2312" w:eastAsia="仿宋_GB2312"/>
          <w:b w:val="0"/>
          <w:sz w:val="32"/>
        </w:rPr>
        <w:t>中小配套企业融资约束仍较突出，需通过政金企对接提升配置效率。多元资本提振产业投资信心。多元资本提振产业投资信心。多元资本提振产业投资信心。多元资本提振产业投资信心。多元资本提振产业投资信心。多元资本提振产业投资信心。多元资本提振产业投资信心。多元资本提振产业投资信心。多元资本提振产业投资信心。多元资本提振产业投资信心。</w:t>
      </w:r>
    </w:p>
    <w:p>
      <w:pPr>
        <w:spacing w:lineRule="exact" w:line="600" w:after="0"/>
        <w:ind w:firstLine="420"/>
      </w:pPr>
      <w:r>
        <w:rPr>
          <w:rFonts w:ascii="仿宋_GB2312" w:hAnsi="仿宋_GB2312" w:eastAsia="仿宋_GB2312"/>
          <w:b w:val="0"/>
          <w:sz w:val="32"/>
        </w:rPr>
        <w:t>产业基金与信贷投放协同，支撑企业技改与扩产。绿色属性契合能耗双控要求。绿色属性契合能耗双控要求。绿色属性契合能耗双控要求。绿色属性契合能耗双控要求。绿色属性契合能耗双控要求。绿色属性契合能耗双控要求。绿色属性契合能耗双控要求。绿色属性契合能耗双控要求。绿色属性契合能耗双控要求。绿色属性契合能耗双控要求。</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新材料产业园推进6平方公里东扩总体规划，园区集约利用土地，支撑集群空间需求。园区集约支撑集群空间需求。园区集约支撑集群空间需求。园区集约支撑集群空间需求。园区集约支撑集群空间需求。园区集约支撑集群空间需求。园区集约支撑集群空间需求。园区集约支撑集群空间需求。园区集约支撑集群空间需求。园区集约支撑集群空间需求。</w:t>
      </w:r>
    </w:p>
    <w:p>
      <w:pPr>
        <w:spacing w:lineRule="exact" w:line="600" w:after="0"/>
        <w:ind w:firstLine="420"/>
      </w:pPr>
      <w:r>
        <w:rPr>
          <w:rFonts w:ascii="仿宋_GB2312" w:hAnsi="仿宋_GB2312" w:eastAsia="仿宋_GB2312"/>
          <w:b w:val="0"/>
          <w:sz w:val="32"/>
        </w:rPr>
        <w:t>绿色制造属性契合能耗双控要求，腾笼换鸟提升亩均产出浓度。多元资本提振产业投资信心。多元资本提振产业投资信心。多元资本提振产业投资信心。多元资本提振产业投资信心。多元资本提振产业投资信心。多元资本提振产业投资信心。多元资本提振产业投资信心。多元资本提振产业投资信心。多元资本提振产业投资信心。多元资本提振产业投资信心。</w:t>
      </w:r>
    </w:p>
    <w:p>
      <w:pPr>
        <w:spacing w:lineRule="exact" w:line="600" w:after="0"/>
        <w:ind w:firstLine="420"/>
      </w:pPr>
      <w:r>
        <w:rPr>
          <w:rFonts w:ascii="仿宋_GB2312" w:hAnsi="仿宋_GB2312" w:eastAsia="仿宋_GB2312"/>
          <w:b w:val="0"/>
          <w:sz w:val="32"/>
        </w:rPr>
        <w:t>标准地出让与基础设施提升，保障项目落地空间。绿色属性契合能耗双控要求。绿色属性契合能耗双控要求。绿色属性契合能耗双控要求。绿色属性契合能耗双控要求。绿色属性契合能耗双控要求。绿色属性契合能耗双控要求。绿色属性契合能耗双控要求。绿色属性契合能耗双控要求。绿色属性契合能耗双控要求。绿色属性契合能耗双控要求。</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依托煤化工基础与煤焦油资源，本地原料供给为碳基新材料近地配套提供保障。园区集约支撑集群空间需求。园区集约支撑集群空间需求。园区集约支撑集群空间需求。园区集约支撑集群空间需求。园区集约支撑集群空间需求。园区集约支撑集群空间需求。园区集约支撑集群空间需求。园区集约支撑集群空间需求。园区集约支撑集群空间需求。</w:t>
      </w:r>
    </w:p>
    <w:p>
      <w:pPr>
        <w:spacing w:lineRule="exact" w:line="600" w:after="0"/>
        <w:ind w:firstLine="420"/>
      </w:pPr>
      <w:r>
        <w:rPr>
          <w:rFonts w:ascii="仿宋_GB2312" w:hAnsi="仿宋_GB2312" w:eastAsia="仿宋_GB2312"/>
          <w:b w:val="0"/>
          <w:sz w:val="32"/>
        </w:rPr>
        <w:t>高端原材料外依需向上游延伸，绿色工艺开辟原料高值化新路。多元资本提振产业投资信心。多元资本提振产业投资信心。多元资本提振产业投资信心。多元资本提振产业投资信心。多元资本提振产业投资信心。多元资本提振产业投资信心。多元资本提振产业投资信心。多元资本提振产业投资信心。多元资本提振产业投资信心。多元资本提振产业投资信心。</w:t>
      </w:r>
    </w:p>
    <w:p>
      <w:pPr>
        <w:spacing w:lineRule="exact" w:line="600" w:after="0"/>
        <w:ind w:firstLine="420"/>
      </w:pPr>
      <w:r>
        <w:rPr>
          <w:rFonts w:ascii="仿宋_GB2312" w:hAnsi="仿宋_GB2312" w:eastAsia="仿宋_GB2312"/>
          <w:b w:val="0"/>
          <w:sz w:val="32"/>
        </w:rPr>
        <w:t>资源循环利用夯实集群低碳发展基础。绿色属性契合能耗双控要求。绿色属性契合能耗双控要求。绿色属性契合能耗双控要求。绿色属性契合能耗双控要求。绿色属性契合能耗双控要求。绿色属性契合能耗双控要求。绿色属性契合能耗双控要求。绿色属性契合能耗双控要求。绿色属性契合能耗双控要求。绿色属性契合能耗双控要求。绿色属性契合能耗双控要求。</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低消耗预焙阳极畅销国内各大铝厂，通用级碳纤维拓展下游应用，内需市场持续扩容。内需扩容释放持续多元需求。内需扩容释放持续多元需求。内需扩容释放持续多元需求。内需扩容释放持续多元需求。内需扩容释放持续多元需求。内需扩容释放持续多元需求。内需扩容释放持续多元需求。内需扩容释放持续多元需求。内需扩容释放持续多元需求。</w:t>
      </w:r>
    </w:p>
    <w:p>
      <w:pPr>
        <w:spacing w:lineRule="exact" w:line="600" w:after="0"/>
        <w:ind w:firstLine="420"/>
      </w:pPr>
      <w:r>
        <w:rPr>
          <w:rFonts w:ascii="仿宋_GB2312" w:hAnsi="仿宋_GB2312" w:eastAsia="仿宋_GB2312"/>
          <w:b w:val="0"/>
          <w:sz w:val="32"/>
        </w:rPr>
        <w:t>电解铝行业低碳转型释放多元需求，应用开放加速国内需求放量。特色产品构成外贸基本盘。特色产品构成外贸基本盘。特色产品构成外贸基本盘。特色产品构成外贸基本盘。特色产品构成外贸基本盘。特色产品构成外贸基本盘。特色产品构成外贸基本盘。特色产品构成外贸基本盘。特色产品构成外贸基本盘。特色产品构成外贸基本盘。特色产品构成外贸基本盘。</w:t>
      </w:r>
    </w:p>
    <w:p>
      <w:pPr>
        <w:spacing w:lineRule="exact" w:line="600" w:after="0"/>
        <w:ind w:firstLine="420"/>
      </w:pPr>
      <w:r>
        <w:rPr>
          <w:rFonts w:ascii="仿宋_GB2312" w:hAnsi="仿宋_GB2312" w:eastAsia="仿宋_GB2312"/>
          <w:b w:val="0"/>
          <w:sz w:val="32"/>
        </w:rPr>
        <w:t>错位定位可巩固国内市场份额。合规体系对冲外部壁垒冲击。合规体系对冲外部壁垒冲击。合规体系对冲外部壁垒冲击。合规体系对冲外部壁垒冲击。合规体系对冲外部壁垒冲击。合规体系对冲外部壁垒冲击。合规体系对冲外部壁垒冲击。合规体系对冲外部壁垒冲击。合规体系对冲外部壁垒冲击。合规体系对冲外部壁垒冲击。合规体系对冲外部壁垒冲击。</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山东晨阳低消耗阳极年出口近15万吨，远销美国、俄罗斯、欧盟、东南亚等国家和地区，构成外贸基本盘。内需扩容释放持续多元需求。内需扩容释放持续多元需求。内需扩容释放持续多元需求。内需扩容释放持续多元需求。内需扩容释放持续多元需求。内需扩容释放持续多元需求。内需扩容释放持续多元需求。内需扩容释放持续多元需求。</w:t>
      </w:r>
    </w:p>
    <w:p>
      <w:pPr>
        <w:spacing w:lineRule="exact" w:line="600" w:after="0"/>
        <w:ind w:firstLine="420"/>
      </w:pPr>
      <w:r>
        <w:rPr>
          <w:rFonts w:ascii="仿宋_GB2312" w:hAnsi="仿宋_GB2312" w:eastAsia="仿宋_GB2312"/>
          <w:b w:val="0"/>
          <w:sz w:val="32"/>
        </w:rPr>
        <w:t>出口结构偏基础材料，需向多元高端产品拓展以分散风险。特色产品构成外贸基本盘。特色产品构成外贸基本盘。特色产品构成外贸基本盘。特色产品构成外贸基本盘。特色产品构成外贸基本盘。特色产品构成外贸基本盘。特色产品构成外贸基本盘。特色产品构成外贸基本盘。特色产品构成外贸基本盘。特色产品构成外贸基本盘。特色产品构成外贸基本盘。</w:t>
      </w:r>
    </w:p>
    <w:p>
      <w:pPr>
        <w:spacing w:lineRule="exact" w:line="600" w:after="0"/>
        <w:ind w:firstLine="420"/>
      </w:pPr>
      <w:r>
        <w:rPr>
          <w:rFonts w:ascii="仿宋_GB2312" w:hAnsi="仿宋_GB2312" w:eastAsia="仿宋_GB2312"/>
          <w:b w:val="0"/>
          <w:sz w:val="32"/>
        </w:rPr>
        <w:t>合规体系有效对冲外部贸易壁垒冲击。合规体系对冲外部壁垒冲击。合规体系对冲外部壁垒冲击。合规体系对冲外部壁垒冲击。合规体系对冲外部壁垒冲击。合规体系对冲外部壁垒冲击。合规体系对冲外部壁垒冲击。合规体系对冲外部壁垒冲击。合规体系对冲外部壁垒冲击。合规体系对冲外部壁垒冲击。合规体系对冲外部壁垒冲击。合规体系对冲外部壁垒冲击。</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山东晨阳入选产业链上的山东好品牌，区域碳材料品牌识别度稳步提升。内需扩容释放持续多元需求。内需扩容释放持续多元需求。内需扩容释放持续多元需求。内需扩容释放持续多元需求。内需扩容释放持续多元需求。内需扩容释放持续多元需求。内需扩容释放持续多元需求。内需扩容释放持续多元需求。内需扩容释放持续多元需求。内需扩容释放持续多元需求。</w:t>
      </w:r>
    </w:p>
    <w:p>
      <w:pPr>
        <w:spacing w:lineRule="exact" w:line="600" w:after="0"/>
        <w:ind w:firstLine="420"/>
      </w:pPr>
      <w:r>
        <w:rPr>
          <w:rFonts w:ascii="仿宋_GB2312" w:hAnsi="仿宋_GB2312" w:eastAsia="仿宋_GB2312"/>
          <w:b w:val="0"/>
          <w:sz w:val="32"/>
        </w:rPr>
        <w:t>区域公共品牌矩阵尚待系统构建，国际话语权仍落后于制造声誉。特色产品构成外贸基本盘。特色产品构成外贸基本盘。特色产品构成外贸基本盘。特色产品构成外贸基本盘。特色产品构成外贸基本盘。特色产品构成外贸基本盘。特色产品构成外贸基本盘。特色产品构成外贸基本盘。特色产品构成外贸基本盘。特色产品构成外贸基本盘。特色产品构成外贸基本盘。</w:t>
      </w:r>
    </w:p>
    <w:p>
      <w:pPr>
        <w:spacing w:lineRule="exact" w:line="600" w:after="0"/>
        <w:ind w:firstLine="420"/>
      </w:pPr>
      <w:r>
        <w:rPr>
          <w:rFonts w:ascii="仿宋_GB2312" w:hAnsi="仿宋_GB2312" w:eastAsia="仿宋_GB2312"/>
          <w:b w:val="0"/>
          <w:sz w:val="32"/>
        </w:rPr>
        <w:t>链主品牌带动集群整体形象跃升。合规体系对冲外部壁垒冲击。合规体系对冲外部壁垒冲击。合规体系对冲外部壁垒冲击。合规体系对冲外部壁垒冲击。合规体系对冲外部壁垒冲击。合规体系对冲外部壁垒冲击。合规体系对冲外部壁垒冲击。合规体系对冲外部壁垒冲击。合规体系对冲外部壁垒冲击。合规体系对冲外部壁垒冲击。合规体系对冲外部壁垒冲击。</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电解铝行业低碳转型带动低消耗阳极需求增长，绿色材料偏好推动产品升级。内需扩容释放持续多元需求。内需扩容释放持续多元需求。内需扩容释放持续多元需求。内需扩容释放持续多元需求。内需扩容释放持续多元需求。内需扩容释放持续多元需求。内需扩容释放持续多元需求。内需扩容释放持续多元需求。内需扩容释放持续多元需求。内需扩容释放持续多元需求。</w:t>
      </w:r>
    </w:p>
    <w:p>
      <w:pPr>
        <w:spacing w:lineRule="exact" w:line="600" w:after="0"/>
        <w:ind w:firstLine="420"/>
      </w:pPr>
      <w:r>
        <w:rPr>
          <w:rFonts w:ascii="仿宋_GB2312" w:hAnsi="仿宋_GB2312" w:eastAsia="仿宋_GB2312"/>
          <w:b w:val="0"/>
          <w:sz w:val="32"/>
        </w:rPr>
        <w:t>技术升级催生高端化、定制化偏好，B端成为新增长引擎。特色产品构成外贸基本盘。特色产品构成外贸基本盘。特色产品构成外贸基本盘。特色产品构成外贸基本盘。特色产品构成外贸基本盘。特色产品构成外贸基本盘。特色产品构成外贸基本盘。特色产品构成外贸基本盘。特色产品构成外贸基本盘。特色产品构成外贸基本盘。特色产品构成外贸基本盘。</w:t>
      </w:r>
    </w:p>
    <w:p>
      <w:pPr>
        <w:spacing w:lineRule="exact" w:line="600" w:after="0"/>
        <w:ind w:firstLine="420"/>
      </w:pPr>
      <w:r>
        <w:rPr>
          <w:rFonts w:ascii="仿宋_GB2312" w:hAnsi="仿宋_GB2312" w:eastAsia="仿宋_GB2312"/>
          <w:b w:val="0"/>
          <w:sz w:val="32"/>
        </w:rPr>
        <w:t>紧盯刚需可提升集群抗风险能力。合规体系对冲外部壁垒冲击。合规体系对冲外部壁垒冲击。合规体系对冲外部壁垒冲击。合规体系对冲外部壁垒冲击。合规体系对冲外部壁垒冲击。合规体系对冲外部壁垒冲击。合规体系对冲外部壁垒冲击。合规体系对冲外部壁垒冲击。合规体系对冲外部壁垒冲击。合规体系对冲外部壁垒冲击。合规体系对冲外部壁垒冲击。</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碳材料集群多点布局，任城依托晨阳链主与标准优势形成差异化竞争力。省内定位错位仍存资源争夺。省内定位错位仍存资源争夺。省内定位错位仍存资源争夺。省内定位错位仍存资源争夺。省内定位错位仍存资源争夺。省内定位错位仍存资源争夺。省内定位错位仍存资源争夺。省内定位错位仍存资源争夺。省内定位错位仍存资源争夺。省内定位错位仍存资源争夺。</w:t>
      </w:r>
    </w:p>
    <w:p>
      <w:pPr>
        <w:spacing w:lineRule="exact" w:line="600" w:after="0"/>
        <w:ind w:firstLine="420"/>
      </w:pPr>
      <w:r>
        <w:rPr>
          <w:rFonts w:ascii="仿宋_GB2312" w:hAnsi="仿宋_GB2312" w:eastAsia="仿宋_GB2312"/>
          <w:b w:val="0"/>
          <w:sz w:val="32"/>
        </w:rPr>
        <w:t>先发链主是核心护城河，系统竞争力对冲单点劣势。先发链主是核心护城河。先发链主是核心护城河。先发链主是核心护城河。先发链主是核心护城河。先发链主是核心护城河。先发链主是核心护城河。先发链主是核心护城河。先发链主是核心护城河。先发链主是核心护城河。先发链主是核心护城河。先发链主是核心护城河。先发链主是核心护城河。</w:t>
      </w:r>
    </w:p>
    <w:p>
      <w:pPr>
        <w:spacing w:lineRule="exact" w:line="600" w:after="0"/>
        <w:ind w:firstLine="420"/>
      </w:pPr>
      <w:r>
        <w:rPr>
          <w:rFonts w:ascii="仿宋_GB2312" w:hAnsi="仿宋_GB2312" w:eastAsia="仿宋_GB2312"/>
          <w:b w:val="0"/>
          <w:sz w:val="32"/>
        </w:rPr>
        <w:t>定位错位仍存资源争夺，需强化特色辨识。环保约束放大合规风险。环保约束放大合规风险。环保约束放大合规风险。环保约束放大合规风险。环保约束放大合规风险。环保约束放大合规风险。环保约束放大合规风险。环保约束放大合规风险。环保约束放大合规风险。环保约束放大合规风险。环保约束放大合规风险。环保约束放大合规风险。环保约束放大合规风险。</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高端制品与复合材料环节偏弱，是集群结构核心矛盾。省内定位错位仍存资源争夺。省内定位错位仍存资源争夺。省内定位错位仍存资源争夺。省内定位错位仍存资源争夺。省内定位错位仍存资源争夺。省内定位错位仍存资源争夺。省内定位错位仍存资源争夺。省内定位错位仍存资源争夺。省内定位错位仍存资源争夺。省内定位错位仍存资源争夺。</w:t>
      </w:r>
    </w:p>
    <w:p>
      <w:pPr>
        <w:spacing w:lineRule="exact" w:line="600" w:after="0"/>
        <w:ind w:firstLine="420"/>
      </w:pPr>
      <w:r>
        <w:rPr>
          <w:rFonts w:ascii="仿宋_GB2312" w:hAnsi="仿宋_GB2312" w:eastAsia="仿宋_GB2312"/>
          <w:b w:val="0"/>
          <w:sz w:val="32"/>
        </w:rPr>
        <w:t>协同深度不足限制网络效率，人才错配拖累创造能力。先发链主是核心护城河。先发链主是核心护城河。先发链主是核心护城河。先发链主是核心护城河。先发链主是核心护城河。先发链主是核心护城河。先发链主是核心护城河。先发链主是核心护城河。先发链主是核心护城河。先发链主是核心护城河。先发链主是核心护城河。先发链主是核心护城河。</w:t>
      </w:r>
    </w:p>
    <w:p>
      <w:pPr>
        <w:spacing w:lineRule="exact" w:line="600" w:after="0"/>
        <w:ind w:firstLine="420"/>
      </w:pPr>
      <w:r>
        <w:rPr>
          <w:rFonts w:ascii="仿宋_GB2312" w:hAnsi="仿宋_GB2312" w:eastAsia="仿宋_GB2312"/>
          <w:b w:val="0"/>
          <w:sz w:val="32"/>
        </w:rPr>
        <w:t>中小企业创新能力不均，需梯次补强。环保约束放大合规风险。环保约束放大合规风险。环保约束放大合规风险。环保约束放大合规风险。环保约束放大合规风险。环保约束放大合规风险。环保约束放大合规风险。环保约束放大合规风险。环保约束放大合规风险。环保约束放大合规风险。环保约束放大合规风险。环保约束放大合规风险。环保约束放大合规风险。</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环保约束趋严放大合规风险，铝行业周期波动影响需求稳定。省内定位错位仍存资源争夺。省内定位错位仍存资源争夺。省内定位错位仍存资源争夺。省内定位错位仍存资源争夺。省内定位错位仍存资源争夺。省内定位错位仍存资源争夺。省内定位错位仍存资源争夺。省内定位错位仍存资源争夺。省内定位错位仍存资源争夺。省内定位错位仍存资源争夺。</w:t>
      </w:r>
    </w:p>
    <w:p>
      <w:pPr>
        <w:spacing w:lineRule="exact" w:line="600" w:after="0"/>
        <w:ind w:firstLine="420"/>
      </w:pPr>
      <w:r>
        <w:rPr>
          <w:rFonts w:ascii="仿宋_GB2312" w:hAnsi="仿宋_GB2312" w:eastAsia="仿宋_GB2312"/>
          <w:b w:val="0"/>
          <w:sz w:val="32"/>
        </w:rPr>
        <w:t>供应链外依需建立多源机制，出口市场政策变化需前瞻应对。先发链主是核心护城河。先发链主是核心护城河。先发链主是核心护城河。先发链主是核心护城河。先发链主是核心护城河。先发链主是核心护城河。先发链主是核心护城河。先发链主是核心护城河。先发链主是核心护城河。先发链主是核心护城河。先发链主是核心护城河。先发链主是核心护城河。</w:t>
      </w:r>
    </w:p>
    <w:p>
      <w:pPr>
        <w:spacing w:lineRule="exact" w:line="600" w:after="0"/>
        <w:ind w:firstLine="420"/>
      </w:pPr>
      <w:r>
        <w:rPr>
          <w:rFonts w:ascii="仿宋_GB2312" w:hAnsi="仿宋_GB2312" w:eastAsia="仿宋_GB2312"/>
          <w:b w:val="0"/>
          <w:sz w:val="32"/>
        </w:rPr>
        <w:t>稳健节奏护航集群穿越周期。环保约束放大合规风险。环保约束放大合规风险。环保约束放大合规风险。环保约束放大合规风险。环保约束放大合规风险。环保约束放大合规风险。环保约束放大合规风险。环保约束放大合规风险。环保约束放大合规风险。环保约束放大合规风险。环保约束放大合规风险。环保约束放大合规风险。环保约束放大合规风险。</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任城区将碳基新材料列为十五条标志性产业链之一，推动向国家级特色产业集群迈进，产值目标100亿元以上。省级特色产业集群定位明确方向。省级特色产业集群定位明确方向。省级特色产业集群定位明确方向。省级特色产业集群定位明确方向。省级特色产业集群定位明确方向。省级特色产业集群定位明确方向。省级特色产业集群定位明确方向。</w:t>
      </w:r>
    </w:p>
    <w:p>
      <w:pPr>
        <w:spacing w:lineRule="exact" w:line="600" w:after="0"/>
        <w:ind w:firstLine="420"/>
      </w:pPr>
      <w:r>
        <w:rPr>
          <w:rFonts w:ascii="仿宋_GB2312" w:hAnsi="仿宋_GB2312" w:eastAsia="仿宋_GB2312"/>
          <w:b w:val="0"/>
          <w:sz w:val="32"/>
        </w:rPr>
        <w:t>省级特色产业集群定位明确发展方向，市级规划提供制度保障。市级规划提供制度保障。市级规划提供制度保障。市级规划提供制度保障。市级规划提供制度保障。市级规划提供制度保障。市级规划提供制度保障。市级规划提供制度保障。市级规划提供制度保障。市级规划提供制度保障。市级规划提供制度保障。市级规划提供制度保障。市级规划提供制度保障。</w:t>
      </w:r>
    </w:p>
    <w:p>
      <w:pPr>
        <w:spacing w:lineRule="exact" w:line="600" w:after="0"/>
        <w:ind w:firstLine="420"/>
      </w:pPr>
      <w:r>
        <w:rPr>
          <w:rFonts w:ascii="仿宋_GB2312" w:hAnsi="仿宋_GB2312" w:eastAsia="仿宋_GB2312"/>
          <w:b w:val="0"/>
          <w:sz w:val="32"/>
        </w:rPr>
        <w:t>产业政策锚定功能坐标，引导资源集聚。园区配套持续优化营商便利。园区配套持续优化营商便利。园区配套持续优化营商便利。园区配套持续优化营商便利。园区配套持续优化营商便利。园区配套持续优化营商便利。园区配套持续优化营商便利。园区配套持续优化营商便利。园区配套持续优化营商便利。园区配套持续优化营商便利。园区配套持续优化营商便利。</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实施百亿产业培育行动，推进晨阳碳济天下产业园、金宇膜石墨烯膜等项目建设，政策精准扶持。省级特色产业集群定位明确方向。省级特色产业集群定位明确方向。省级特色产业集群定位明确方向。省级特色产业集群定位明确方向。省级特色产业集群定位明确方向。省级特色产业集群定位明确方向。省级特色产业集群定位明确方向。省级特色产业集群定位明确方向。</w:t>
      </w:r>
    </w:p>
    <w:p>
      <w:pPr>
        <w:spacing w:lineRule="exact" w:line="600" w:after="0"/>
        <w:ind w:firstLine="420"/>
      </w:pPr>
      <w:r>
        <w:rPr>
          <w:rFonts w:ascii="仿宋_GB2312" w:hAnsi="仿宋_GB2312" w:eastAsia="仿宋_GB2312"/>
          <w:b w:val="0"/>
          <w:sz w:val="32"/>
        </w:rPr>
        <w:t>基金加政策包构建产业生态，实现造血式培育。市级规划提供制度保障。市级规划提供制度保障。市级规划提供制度保障。市级规划提供制度保障。市级规划提供制度保障。市级规划提供制度保障。市级规划提供制度保障。市级规划提供制度保障。市级规划提供制度保障。市级规划提供制度保障。市级规划提供制度保障。市级规划提供制度保障。</w:t>
      </w:r>
    </w:p>
    <w:p>
      <w:pPr>
        <w:spacing w:lineRule="exact" w:line="600" w:after="0"/>
        <w:ind w:firstLine="420"/>
      </w:pPr>
      <w:r>
        <w:rPr>
          <w:rFonts w:ascii="仿宋_GB2312" w:hAnsi="仿宋_GB2312" w:eastAsia="仿宋_GB2312"/>
          <w:b w:val="0"/>
          <w:sz w:val="32"/>
        </w:rPr>
        <w:t>政策触达率仍可进一步提升，惠及中小企业。园区配套持续优化营商便利。园区配套持续优化营商便利。园区配套持续优化营商便利。园区配套持续优化营商便利。园区配套持续优化营商便利。园区配套持续优化营商便利。园区配套持续优化营商便利。园区配套持续优化营商便利。园区配套持续优化营商便利。园区配套持续优化营商便利。园区配套持续优化营商便利。</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济宁运河经济开发区入选山东省绿色工业园区公示名单，园区平台构成完备配套体系。省级特色产业集群定位明确方向。省级特色产业集群定位明确方向。省级特色产业集群定位明确方向。省级特色产业集群定位明确方向。省级特色产业集群定位明确方向。省级特色产业集群定位明确方向。省级特色产业集群定位明确方向。省级特色产业集群定位明确方向。</w:t>
      </w:r>
    </w:p>
    <w:p>
      <w:pPr>
        <w:spacing w:lineRule="exact" w:line="600" w:after="0"/>
        <w:ind w:firstLine="420"/>
      </w:pPr>
      <w:r>
        <w:rPr>
          <w:rFonts w:ascii="仿宋_GB2312" w:hAnsi="仿宋_GB2312" w:eastAsia="仿宋_GB2312"/>
          <w:b w:val="0"/>
          <w:sz w:val="32"/>
        </w:rPr>
        <w:t>审批提速与标准地出让提升营商便利度，基础设施持续完善。市级规划提供制度保障。市级规划提供制度保障。市级规划提供制度保障。市级规划提供制度保障。市级规划提供制度保障。市级规划提供制度保障。市级规划提供制度保障。市级规划提供制度保障。市级规划提供制度保障。市级规划提供制度保障。市级规划提供制度保障。市级规划提供制度保障。</w:t>
      </w:r>
    </w:p>
    <w:p>
      <w:pPr>
        <w:spacing w:lineRule="exact" w:line="600" w:after="0"/>
        <w:ind w:firstLine="420"/>
      </w:pPr>
      <w:r>
        <w:rPr>
          <w:rFonts w:ascii="仿宋_GB2312" w:hAnsi="仿宋_GB2312" w:eastAsia="仿宋_GB2312"/>
          <w:b w:val="0"/>
          <w:sz w:val="32"/>
        </w:rPr>
        <w:t>中小企业公共服务短板需补建。园区配套持续优化营商便利。园区配套持续优化营商便利。园区配套持续优化营商便利。园区配套持续优化营商便利。园区配套持续优化营商便利。园区配套持续优化营商便利。园区配套持续优化营商便利。园区配套持续优化营商便利。园区配套持续优化营商便利。园区配套持续优化营商便利。园区配套持续优化营商便利。</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链长制协同机制统筹要素保障，行业协会与联盟提升集群组织化水平。省级特色产业集群定位明确方向。省级特色产业集群定位明确方向。省级特色产业集群定位明确方向。省级特色产业集群定位明确方向。省级特色产业集群定位明确方向。省级特色产业集群定位明确方向。省级特色产业集群定位明确方向。省级特色产业集群定位明确方向。省级特色产业集群定位明确方向。</w:t>
      </w:r>
    </w:p>
    <w:p>
      <w:pPr>
        <w:spacing w:lineRule="exact" w:line="600" w:after="0"/>
        <w:ind w:firstLine="420"/>
      </w:pPr>
      <w:r>
        <w:rPr>
          <w:rFonts w:ascii="仿宋_GB2312" w:hAnsi="仿宋_GB2312" w:eastAsia="仿宋_GB2312"/>
          <w:b w:val="0"/>
          <w:sz w:val="32"/>
        </w:rPr>
        <w:t>纽带功能促进大中小企业融通，开展融链固链、银企对接等活动。市级规划提供制度保障。市级规划提供制度保障。市级规划提供制度保障。市级规划提供制度保障。市级规划提供制度保障。市级规划提供制度保障。市级规划提供制度保障。市级规划提供制度保障。市级规划提供制度保障。市级规划提供制度保障。市级规划提供制度保障。市级规划提供制度保障。</w:t>
      </w:r>
    </w:p>
    <w:p>
      <w:pPr>
        <w:spacing w:lineRule="exact" w:line="600" w:after="0"/>
        <w:ind w:firstLine="420"/>
      </w:pPr>
      <w:r>
        <w:rPr>
          <w:rFonts w:ascii="仿宋_GB2312" w:hAnsi="仿宋_GB2312" w:eastAsia="仿宋_GB2312"/>
          <w:b w:val="0"/>
          <w:sz w:val="32"/>
        </w:rPr>
        <w:t>协会可承担预警共育职能，增强抗风险能力。园区配套持续优化营商便利。园区配套持续优化营商便利。园区配套持续优化营商便利。园区配套持续优化营商便利。园区配套持续优化营商便利。园区配套持续优化营商便利。园区配套持续优化营商便利。园区配套持续优化营商便利。园区配套持续优化营商便利。园区配套持续优化营商便利。园区配套持续优化营商便利。</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拉动任城新材料、高端装备、新一代信息技术三大主导产业营收突破180亿元，成为区域工业增长的重要引擎。集群拉动区域经济稳健向好。集群拉动区域经济稳健向好。集群拉动区域经济稳健向好。集群拉动区域经济稳健向好。集群拉动区域经济稳健向好。集群拉动区域经济稳健向好。集群拉动区域经济稳健向好。集群拉动区域经济稳健向好。</w:t>
      </w:r>
    </w:p>
    <w:p>
      <w:pPr>
        <w:spacing w:lineRule="exact" w:line="600" w:after="0"/>
        <w:ind w:firstLine="420"/>
      </w:pPr>
      <w:r>
        <w:rPr>
          <w:rFonts w:ascii="仿宋_GB2312" w:hAnsi="仿宋_GB2312" w:eastAsia="仿宋_GB2312"/>
          <w:b w:val="0"/>
          <w:sz w:val="32"/>
        </w:rPr>
        <w:t>集群化提升全要素生产率，外溢效应带动周边产业均衡发展。集群化提升全要素生产率。集群化提升全要素生产率。集群化提升全要素生产率。集群化提升全要素生产率。集群化提升全要素生产率。集群化提升全要素生产率。集群化提升全要素生产率。集群化提升全要素生产率。集群化提升全要素生产率。集群化提升全要素生产率。集群化提升全要素生产率。</w:t>
      </w:r>
    </w:p>
    <w:p>
      <w:pPr>
        <w:spacing w:lineRule="exact" w:line="600" w:after="0"/>
        <w:ind w:firstLine="420"/>
      </w:pPr>
      <w:r>
        <w:rPr>
          <w:rFonts w:ascii="仿宋_GB2312" w:hAnsi="仿宋_GB2312" w:eastAsia="仿宋_GB2312"/>
          <w:b w:val="0"/>
          <w:sz w:val="32"/>
        </w:rPr>
        <w:t>百亿级规模夯实任城制造强区根基。产业红利下沉改善民生。产业红利下沉改善民生。产业红利下沉改善民生。产业红利下沉改善民生。产业红利下沉改善民生。产业红利下沉改善民生。产业红利下沉改善民生。产业红利下沉改善民生。产业红利下沉改善民生。产业红利下沉改善民生。产业红利下沉改善民生。产业红利下沉改善民生。产业红利下沉改善民生。</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链主企业提供大量高质量岗位，高技能岗位改善人力回报，带动周边居民就业。集群拉动区域经济稳健向好。集群拉动区域经济稳健向好。集群拉动区域经济稳健向好。集群拉动区域经济稳健向好。集群拉动区域经济稳健向好。集群拉动区域经济稳健向好。集群拉动区域经济稳健向好。集群拉动区域经济稳健向好。集群拉动区域经济稳健向好。</w:t>
      </w:r>
    </w:p>
    <w:p>
      <w:pPr>
        <w:spacing w:lineRule="exact" w:line="600" w:after="0"/>
        <w:ind w:firstLine="420"/>
      </w:pPr>
      <w:r>
        <w:rPr>
          <w:rFonts w:ascii="仿宋_GB2312" w:hAnsi="仿宋_GB2312" w:eastAsia="仿宋_GB2312"/>
          <w:b w:val="0"/>
          <w:sz w:val="32"/>
        </w:rPr>
        <w:t>结构性矛盾需通过进阶培训破解，提升劳动者技能匹配度。集群化提升全要素生产率。集群化提升全要素生产率。集群化提升全要素生产率。集群化提升全要素生产率。集群化提升全要素生产率。集群化提升全要素生产率。集群化提升全要素生产率。集群化提升全要素生产率。集群化提升全要素生产率。集群化提升全要素生产率。集群化提升全要素生产率。</w:t>
      </w:r>
    </w:p>
    <w:p>
      <w:pPr>
        <w:spacing w:lineRule="exact" w:line="600" w:after="0"/>
        <w:ind w:firstLine="420"/>
      </w:pPr>
      <w:r>
        <w:rPr>
          <w:rFonts w:ascii="仿宋_GB2312" w:hAnsi="仿宋_GB2312" w:eastAsia="仿宋_GB2312"/>
          <w:b w:val="0"/>
          <w:sz w:val="32"/>
        </w:rPr>
        <w:t>产业工人队伍支撑集群稳定运行。产业红利下沉改善民生。产业红利下沉改善民生。产业红利下沉改善民生。产业红利下沉改善民生。产业红利下沉改善民生。产业红利下沉改善民生。产业红利下沉改善民生。产业红利下沉改善民生。产业红利下沉改善民生。产业红利下沉改善民生。产业红利下沉改善民生。产业红利下沉改善民生。产业红利下沉改善民生。</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技术外溢提升区域制造水平，平台与人才辐射放大正外部性。集群拉动区域经济稳健向好。集群拉动区域经济稳健向好。集群拉动区域经济稳健向好。集群拉动区域经济稳健向好。集群拉动区域经济稳健向好。集群拉动区域经济稳健向好。集群拉动区域经济稳健向好。集群拉动区域经济稳健向好。集群拉动区域经济稳健向好。集群拉动区域经济稳健向好。</w:t>
      </w:r>
    </w:p>
    <w:p>
      <w:pPr>
        <w:spacing w:lineRule="exact" w:line="600" w:after="0"/>
        <w:ind w:firstLine="420"/>
      </w:pPr>
      <w:r>
        <w:rPr>
          <w:rFonts w:ascii="仿宋_GB2312" w:hAnsi="仿宋_GB2312" w:eastAsia="仿宋_GB2312"/>
          <w:b w:val="0"/>
          <w:sz w:val="32"/>
        </w:rPr>
        <w:t>碳材料品牌增强招商引力，吸引上下游项目落地。集群化提升全要素生产率。集群化提升全要素生产率。集群化提升全要素生产率。集群化提升全要素生产率。集群化提升全要素生产率。集群化提升全要素生产率。集群化提升全要素生产率。集群化提升全要素生产率。集群化提升全要素生产率。集群化提升全要素生产率。集群化提升全要素生产率。</w:t>
      </w:r>
    </w:p>
    <w:p>
      <w:pPr>
        <w:spacing w:lineRule="exact" w:line="600" w:after="0"/>
        <w:ind w:firstLine="420"/>
      </w:pPr>
      <w:r>
        <w:rPr>
          <w:rFonts w:ascii="仿宋_GB2312" w:hAnsi="仿宋_GB2312" w:eastAsia="仿宋_GB2312"/>
          <w:b w:val="0"/>
          <w:sz w:val="32"/>
        </w:rPr>
        <w:t>创新生态外溢促进区域协同升级。产业红利下沉改善民生。产业红利下沉改善民生。产业红利下沉改善民生。产业红利下沉改善民生。产业红利下沉改善民生。产业红利下沉改善民生。产业红利下沉改善民生。产业红利下沉改善民生。产业红利下沉改善民生。产业红利下沉改善民生。产业红利下沉改善民生。产业红利下沉改善民生。产业红利下沉改善民生。</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绿色低碳转型改善生态环境，产业红利下沉改善民生福祉。集群拉动区域经济稳健向好。集群拉动区域经济稳健向好。集群拉动区域经济稳健向好。集群拉动区域经济稳健向好。集群拉动区域经济稳健向好。集群拉动区域经济稳健向好。集群拉动区域经济稳健向好。集群拉动区域经济稳健向好。集群拉动区域经济稳健向好。集群拉动区域经济稳健向好。</w:t>
      </w:r>
    </w:p>
    <w:p>
      <w:pPr>
        <w:spacing w:lineRule="exact" w:line="600" w:after="0"/>
        <w:ind w:firstLine="420"/>
      </w:pPr>
      <w:r>
        <w:rPr>
          <w:rFonts w:ascii="仿宋_GB2312" w:hAnsi="仿宋_GB2312" w:eastAsia="仿宋_GB2312"/>
          <w:b w:val="0"/>
          <w:sz w:val="32"/>
        </w:rPr>
        <w:t>治理应用提升城市效能，产业自信凝聚区域发展共识。集群化提升全要素生产率。集群化提升全要素生产率。集群化提升全要素生产率。集群化提升全要素生产率。集群化提升全要素生产率。集群化提升全要素生产率。集群化提升全要素生产率。集群化提升全要素生产率。集群化提升全要素生产率。集群化提升全要素生产率。集群化提升全要素生产率。</w:t>
      </w:r>
    </w:p>
    <w:p>
      <w:pPr>
        <w:spacing w:lineRule="exact" w:line="600" w:after="0"/>
        <w:ind w:firstLine="420"/>
      </w:pPr>
      <w:r>
        <w:rPr>
          <w:rFonts w:ascii="仿宋_GB2312" w:hAnsi="仿宋_GB2312" w:eastAsia="仿宋_GB2312"/>
          <w:b w:val="0"/>
          <w:sz w:val="32"/>
        </w:rPr>
        <w:t>新型工业化增强主城区综合能级。产业红利下沉改善民生。产业红利下沉改善民生。产业红利下沉改善民生。产业红利下沉改善民生。产业红利下沉改善民生。产业红利下沉改善民生。产业红利下沉改善民生。产业红利下沉改善民生。产业红利下沉改善民生。产业红利下沉改善民生。产业红利下沉改善民生。产业红利下沉改善民生。产业红利下沉改善民生。</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优势集中于基础材料环节，高端制品与复合材料环节待补强，外部挑战具多重叠加性。优势短板并存需系统施策。优势短板并存需系统施策。优势短板并存需系统施策。优势短板并存需系统施策。优势短板并存需系统施策。优势短板并存需系统施策。优势短板并存需系统施策。优势短板并存需系统施策。优势短板并存需系统施策。优势短板并存需系统施策。</w:t>
      </w:r>
    </w:p>
    <w:p>
      <w:pPr>
        <w:spacing w:lineRule="exact" w:line="600" w:after="0"/>
        <w:ind w:firstLine="420"/>
      </w:pPr>
      <w:r>
        <w:rPr>
          <w:rFonts w:ascii="仿宋_GB2312" w:hAnsi="仿宋_GB2312" w:eastAsia="仿宋_GB2312"/>
          <w:b w:val="0"/>
          <w:sz w:val="32"/>
        </w:rPr>
        <w:t>能级待升期须转换发展红利，系统施策破解结构矛盾。补链聚焦高端碳纤维制品。补链聚焦高端碳纤维制品。补链聚焦高端碳纤维制品。补链聚焦高端碳纤维制品。补链聚焦高端碳纤维制品。补链聚焦高端碳纤维制品。补链聚焦高端碳纤维制品。补链聚焦高端碳纤维制品。补链聚焦高端碳纤维制品。补链聚焦高端碳纤维制品。补链聚焦高端碳纤维制品。</w:t>
      </w:r>
    </w:p>
    <w:p>
      <w:pPr>
        <w:spacing w:lineRule="exact" w:line="600" w:after="0"/>
        <w:ind w:firstLine="420"/>
      </w:pPr>
      <w:r>
        <w:rPr>
          <w:rFonts w:ascii="仿宋_GB2312" w:hAnsi="仿宋_GB2312" w:eastAsia="仿宋_GB2312"/>
          <w:b w:val="0"/>
          <w:sz w:val="32"/>
        </w:rPr>
        <w:t>需统筹当前稳增长与中长期跃升。精准滴灌提升政策效益。精准滴灌提升政策效益。精准滴灌提升政策效益。精准滴灌提升政策效益。精准滴灌提升政策效益。精准滴灌提升政策效益。精准滴灌提升政策效益。精准滴灌提升政策效益。精准滴灌提升政策效益。精准滴灌提升政策效益。精准滴灌提升政策效益。精准滴灌提升政策效益。精准滴灌提升政策效益。</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聚焦高端碳纤维制品与复合材料，强链巩固低消耗预焙阳极优势。优势短板并存需系统施策。优势短板并存需系统施策。优势短板并存需系统施策。优势短板并存需系统施策。优势短板并存需系统施策。优势短板并存需系统施策。优势短板并存需系统施策。优势短板并存需系统施策。优势短板并存需系统施策。优势短板并存需系统施策。优势短板并存需系统施策。</w:t>
      </w:r>
    </w:p>
    <w:p>
      <w:pPr>
        <w:spacing w:lineRule="exact" w:line="600" w:after="0"/>
        <w:ind w:firstLine="420"/>
      </w:pPr>
      <w:r>
        <w:rPr>
          <w:rFonts w:ascii="仿宋_GB2312" w:hAnsi="仿宋_GB2312" w:eastAsia="仿宋_GB2312"/>
          <w:b w:val="0"/>
          <w:sz w:val="32"/>
        </w:rPr>
        <w:t>延链迈向高附加值终端应用，提升全产业链价值捕获能力。补链聚焦高端碳纤维制品。补链聚焦高端碳纤维制品。补链聚焦高端碳纤维制品。补链聚焦高端碳纤维制品。补链聚焦高端碳纤维制品。补链聚焦高端碳纤维制品。补链聚焦高端碳纤维制品。补链聚焦高端碳纤维制品。补链聚焦高端碳纤维制品。补链聚焦高端碳纤维制品。补链聚焦高端碳纤维制品。</w:t>
      </w:r>
    </w:p>
    <w:p>
      <w:pPr>
        <w:spacing w:lineRule="exact" w:line="600" w:after="0"/>
        <w:ind w:firstLine="420"/>
      </w:pPr>
      <w:r>
        <w:rPr>
          <w:rFonts w:ascii="仿宋_GB2312" w:hAnsi="仿宋_GB2312" w:eastAsia="仿宋_GB2312"/>
          <w:b w:val="0"/>
          <w:sz w:val="32"/>
        </w:rPr>
        <w:t>向研发与制品两端延伸是必然选择。精准滴灌提升政策效益。精准滴灌提升政策效益。精准滴灌提升政策效益。精准滴灌提升政策效益。精准滴灌提升政策效益。精准滴灌提升政策效益。精准滴灌提升政策效益。精准滴灌提升政策效益。精准滴灌提升政策效益。精准滴灌提升政策效益。精准滴灌提升政策效益。精准滴灌提升政策效益。精准滴灌提升政策效益。</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梯次培育壮大企业后备，支持链主上市与国际化拓展外部空间。优势短板并存需系统施策。优势短板并存需系统施策。优势短板并存需系统施策。优势短板并存需系统施策。优势短板并存需系统施策。优势短板并存需系统施策。优势短板并存需系统施策。优势短板并存需系统施策。优势短板并存需系统施策。优势短板并存需系统施策。优势短板并存需系统施策。</w:t>
      </w:r>
    </w:p>
    <w:p>
      <w:pPr>
        <w:spacing w:lineRule="exact" w:line="600" w:after="0"/>
        <w:ind w:firstLine="420"/>
      </w:pPr>
      <w:r>
        <w:rPr>
          <w:rFonts w:ascii="仿宋_GB2312" w:hAnsi="仿宋_GB2312" w:eastAsia="仿宋_GB2312"/>
          <w:b w:val="0"/>
          <w:sz w:val="32"/>
        </w:rPr>
        <w:t>融通发展形成雨林生态，壮大专精特新与单项冠军梯队。补链聚焦高端碳纤维制品。补链聚焦高端碳纤维制品。补链聚焦高端碳纤维制品。补链聚焦高端碳纤维制品。补链聚焦高端碳纤维制品。补链聚焦高端碳纤维制品。补链聚焦高端碳纤维制品。补链聚焦高端碳纤维制品。补链聚焦高端碳纤维制品。补链聚焦高端碳纤维制品。补链聚焦高端碳纤维制品。</w:t>
      </w:r>
    </w:p>
    <w:p>
      <w:pPr>
        <w:spacing w:lineRule="exact" w:line="600" w:after="0"/>
        <w:ind w:firstLine="420"/>
      </w:pPr>
      <w:r>
        <w:rPr>
          <w:rFonts w:ascii="仿宋_GB2312" w:hAnsi="仿宋_GB2312" w:eastAsia="仿宋_GB2312"/>
          <w:b w:val="0"/>
          <w:sz w:val="32"/>
        </w:rPr>
        <w:t>中小企业入链发展增强网络韧性。精准滴灌提升政策效益。精准滴灌提升政策效益。精准滴灌提升政策效益。精准滴灌提升政策效益。精准滴灌提升政策效益。精准滴灌提升政策效益。精准滴灌提升政策效益。精准滴灌提升政策效益。精准滴灌提升政策效益。精准滴灌提升政策效益。精准滴灌提升政策效益。精准滴灌提升政策效益。精准滴灌提升政策效益。</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依托制造业创新中心突破关键技术，扭转原创能力偏弱结构。优势短板并存需系统施策。优势短板并存需系统施策。优势短板并存需系统施策。优势短板并存需系统施策。优势短板并存需系统施策。优势短板并存需系统施策。优势短板并存需系统施策。优势短板并存需系统施策。优势短板并存需系统施策。优势短板并存需系统施策。优势短板并存需系统施策。</w:t>
      </w:r>
    </w:p>
    <w:p>
      <w:pPr>
        <w:spacing w:lineRule="exact" w:line="600" w:after="0"/>
        <w:ind w:firstLine="420"/>
      </w:pPr>
      <w:r>
        <w:rPr>
          <w:rFonts w:ascii="仿宋_GB2312" w:hAnsi="仿宋_GB2312" w:eastAsia="仿宋_GB2312"/>
          <w:b w:val="0"/>
          <w:sz w:val="32"/>
        </w:rPr>
        <w:t>中试体系畅通成果转化通道，产教融合筑牢人才根基。补链聚焦高端碳纤维制品。补链聚焦高端碳纤维制品。补链聚焦高端碳纤维制品。补链聚焦高端碳纤维制品。补链聚焦高端碳纤维制品。补链聚焦高端碳纤维制品。补链聚焦高端碳纤维制品。补链聚焦高端碳纤维制品。补链聚焦高端碳纤维制品。补链聚焦高端碳纤维制品。补链聚焦高端碳纤维制品。</w:t>
      </w:r>
    </w:p>
    <w:p>
      <w:pPr>
        <w:spacing w:lineRule="exact" w:line="600" w:after="0"/>
        <w:ind w:firstLine="420"/>
      </w:pPr>
      <w:r>
        <w:rPr>
          <w:rFonts w:ascii="仿宋_GB2312" w:hAnsi="仿宋_GB2312" w:eastAsia="仿宋_GB2312"/>
          <w:b w:val="0"/>
          <w:sz w:val="32"/>
        </w:rPr>
        <w:t>跨领域集成补齐下游应用短板。精准滴灌提升政策效益。精准滴灌提升政策效益。精准滴灌提升政策效益。精准滴灌提升政策效益。精准滴灌提升政策效益。精准滴灌提升政策效益。精准滴灌提升政策效益。精准滴灌提升政策效益。精准滴灌提升政策效益。精准滴灌提升政策效益。精准滴灌提升政策效益。精准滴灌提升政策效益。精准滴灌提升政策效益。</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资本、土地、能耗协同保障，绿色要素成为新关键变量。优势短板并存需系统施策。优势短板并存需系统施策。优势短板并存需系统施策。优势短板并存需系统施策。优势短板并存需系统施策。优势短板并存需系统施策。优势短板并存需系统施策。优势短板并存需系统施策。优势短板并存需系统施策。优势短板并存需系统施策。优势短板并存需系统施策。</w:t>
      </w:r>
    </w:p>
    <w:p>
      <w:pPr>
        <w:spacing w:lineRule="exact" w:line="600" w:after="0"/>
        <w:ind w:firstLine="420"/>
      </w:pPr>
      <w:r>
        <w:rPr>
          <w:rFonts w:ascii="仿宋_GB2312" w:hAnsi="仿宋_GB2312" w:eastAsia="仿宋_GB2312"/>
          <w:b w:val="0"/>
          <w:sz w:val="32"/>
        </w:rPr>
        <w:t>营商优化稳定要素预期，提升配置效率。补链聚焦高端碳纤维制品。补链聚焦高端碳纤维制品。补链聚焦高端碳纤维制品。补链聚焦高端碳纤维制品。补链聚焦高端碳纤维制品。补链聚焦高端碳纤维制品。补链聚焦高端碳纤维制品。补链聚焦高端碳纤维制品。补链聚焦高端碳纤维制品。补链聚焦高端碳纤维制品。补链聚焦高端碳纤维制品。补链聚焦高端碳纤维制品。</w:t>
      </w:r>
    </w:p>
    <w:p>
      <w:pPr>
        <w:spacing w:lineRule="exact" w:line="600" w:after="0"/>
        <w:ind w:firstLine="420"/>
      </w:pPr>
      <w:r>
        <w:rPr>
          <w:rFonts w:ascii="仿宋_GB2312" w:hAnsi="仿宋_GB2312" w:eastAsia="仿宋_GB2312"/>
          <w:b w:val="0"/>
          <w:sz w:val="32"/>
        </w:rPr>
        <w:t>多元资本支撑技改与扩产。精准滴灌提升政策效益。精准滴灌提升政策效益。精准滴灌提升政策效益。精准滴灌提升政策效益。精准滴灌提升政策效益。精准滴灌提升政策效益。精准滴灌提升政策效益。精准滴灌提升政策效益。精准滴灌提升政策效益。精准滴灌提升政策效益。精准滴灌提升政策效益。精准滴灌提升政策效益。精准滴灌提升政策效益。</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精准滴灌提升资金效益，协同政策放大集群整体效能。优势短板并存需系统施策。优势短板并存需系统施策。优势短板并存需系统施策。优势短板并存需系统施策。优势短板并存需系统施策。优势短板并存需系统施策。优势短板并存需系统施策。优势短板并存需系统施策。优势短板并存需系统施策。优势短板并存需系统施策。优势短板并存需系统施策。</w:t>
      </w:r>
    </w:p>
    <w:p>
      <w:pPr>
        <w:spacing w:lineRule="exact" w:line="600" w:after="0"/>
        <w:ind w:firstLine="420"/>
      </w:pPr>
      <w:r>
        <w:rPr>
          <w:rFonts w:ascii="仿宋_GB2312" w:hAnsi="仿宋_GB2312" w:eastAsia="仿宋_GB2312"/>
          <w:b w:val="0"/>
          <w:sz w:val="32"/>
        </w:rPr>
        <w:t>动态评估护航市场转型，避免低水平重复建设。补链聚焦高端碳纤维制品。补链聚焦高端碳纤维制品。补链聚焦高端碳纤维制品。补链聚焦高端碳纤维制品。补链聚焦高端碳纤维制品。补链聚焦高端碳纤维制品。补链聚焦高端碳纤维制品。补链聚焦高端碳纤维制品。补链聚焦高端碳纤维制品。补链聚焦高端碳纤维制品。补链聚焦高端碳纤维制品。</w:t>
      </w:r>
    </w:p>
    <w:p>
      <w:pPr>
        <w:spacing w:lineRule="exact" w:line="600" w:after="0"/>
        <w:ind w:firstLine="420"/>
      </w:pPr>
      <w:r>
        <w:rPr>
          <w:rFonts w:ascii="仿宋_GB2312" w:hAnsi="仿宋_GB2312" w:eastAsia="仿宋_GB2312"/>
          <w:b w:val="0"/>
          <w:sz w:val="32"/>
        </w:rPr>
        <w:t>链长制统筹推动向国家级集群迈进。精准滴灌提升政策效益。精准滴灌提升政策效益。精准滴灌提升政策效益。精准滴灌提升政策效益。精准滴灌提升政策效益。精准滴灌提升政策效益。精准滴灌提升政策效益。精准滴灌提升政策效益。精准滴灌提升政策效益。精准滴灌提升政策效益。精准滴灌提升政策效益。精准滴灌提升政策效益。精准滴灌提升政策效益。</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济宁市任城区人民政府. 《政府工作报告》重点工作责任分工（济任政发〔2025〕1号）</w:t>
      </w:r>
    </w:p>
    <w:p>
      <w:pPr>
        <w:spacing w:lineRule="exact" w:line="600" w:after="0"/>
        <w:ind w:firstLine="0"/>
      </w:pPr>
      <w:r>
        <w:rPr>
          <w:rFonts w:ascii="仿宋_GB2312" w:hAnsi="仿宋_GB2312" w:eastAsia="仿宋_GB2312"/>
          <w:b w:val="0"/>
          <w:sz w:val="32"/>
        </w:rPr>
        <w:t>济宁市任城区工业和信息化局. 区工信局落实2025年政府工作报告第四季度工作进展</w:t>
      </w:r>
    </w:p>
    <w:p>
      <w:pPr>
        <w:spacing w:lineRule="exact" w:line="600" w:after="0"/>
        <w:ind w:firstLine="0"/>
      </w:pPr>
      <w:r>
        <w:rPr>
          <w:rFonts w:ascii="仿宋_GB2312" w:hAnsi="仿宋_GB2312" w:eastAsia="仿宋_GB2312"/>
          <w:b w:val="0"/>
          <w:sz w:val="32"/>
        </w:rPr>
        <w:t>大众日报. 任城区：产业筋骨与城市活力双重焕新（2025-11-27）</w:t>
      </w:r>
    </w:p>
    <w:p>
      <w:pPr>
        <w:spacing w:lineRule="exact" w:line="600" w:after="0"/>
        <w:ind w:firstLine="0"/>
      </w:pPr>
      <w:r>
        <w:rPr>
          <w:rFonts w:ascii="仿宋_GB2312" w:hAnsi="仿宋_GB2312" w:eastAsia="仿宋_GB2312"/>
          <w:b w:val="0"/>
          <w:sz w:val="32"/>
        </w:rPr>
        <w:t>搜狐网/山东好品牌. 山东晨阳：打造新型碳材料产业高地</w:t>
      </w:r>
    </w:p>
    <w:p>
      <w:pPr>
        <w:spacing w:lineRule="exact" w:line="600" w:after="0"/>
        <w:ind w:firstLine="0"/>
      </w:pPr>
      <w:r>
        <w:rPr>
          <w:rFonts w:ascii="仿宋_GB2312" w:hAnsi="仿宋_GB2312" w:eastAsia="仿宋_GB2312"/>
          <w:b w:val="0"/>
          <w:sz w:val="32"/>
        </w:rPr>
        <w:t>济宁任城区政府. 开发区企业入选省煤基新材料绿色制造业创新中心（2021-10-15）</w:t>
      </w:r>
    </w:p>
    <w:p>
      <w:pPr>
        <w:spacing w:lineRule="exact" w:line="600" w:after="0"/>
        <w:ind w:firstLine="0"/>
      </w:pPr>
      <w:r>
        <w:rPr>
          <w:rFonts w:ascii="仿宋_GB2312" w:hAnsi="仿宋_GB2312" w:eastAsia="仿宋_GB2312"/>
          <w:b w:val="0"/>
          <w:sz w:val="32"/>
        </w:rPr>
        <w:t>天眼查. 山东晨阳新型碳材料股份有限公司企业基础信息</w:t>
      </w:r>
    </w:p>
    <w:p>
      <w:pPr>
        <w:spacing w:lineRule="exact" w:line="600" w:after="0"/>
        <w:ind w:firstLine="0"/>
      </w:pPr>
      <w:r>
        <w:rPr>
          <w:rFonts w:ascii="仿宋_GB2312" w:hAnsi="仿宋_GB2312" w:eastAsia="仿宋_GB2312"/>
          <w:b w:val="0"/>
          <w:sz w:val="32"/>
        </w:rPr>
        <w:t>济宁市任城区工业和信息化局. 区工信局落实2025年政府工作报告第三季度工作进展</w:t>
      </w:r>
    </w:p>
    <w:p>
      <w:pPr>
        <w:spacing w:lineRule="exact" w:line="600" w:after="0"/>
        <w:ind w:firstLine="0"/>
      </w:pPr>
      <w:r>
        <w:rPr>
          <w:rFonts w:ascii="仿宋_GB2312" w:hAnsi="仿宋_GB2312" w:eastAsia="仿宋_GB2312"/>
          <w:b w:val="0"/>
          <w:sz w:val="32"/>
        </w:rPr>
        <w:t>爱企查. 山东晨阳新型碳材料股份有限公司公司详情</w:t>
      </w:r>
    </w:p>
    <w:p>
      <w:pPr>
        <w:spacing w:lineRule="exact" w:line="600" w:after="0"/>
        <w:ind w:firstLine="0"/>
      </w:pPr>
      <w:r>
        <w:rPr>
          <w:rFonts w:ascii="仿宋_GB2312" w:hAnsi="仿宋_GB2312" w:eastAsia="仿宋_GB2312"/>
          <w:b w:val="0"/>
          <w:sz w:val="32"/>
        </w:rPr>
        <w:t>济宁运河经济开发区. 新材料产业园与绿色工业园区相关公开信息</w:t>
      </w:r>
    </w:p>
    <w:p>
      <w:pPr>
        <w:spacing w:lineRule="exact" w:line="600" w:after="0"/>
        <w:ind w:firstLine="0"/>
      </w:pPr>
      <w:r>
        <w:rPr>
          <w:rFonts w:ascii="仿宋_GB2312" w:hAnsi="仿宋_GB2312" w:eastAsia="仿宋_GB2312"/>
          <w:b w:val="0"/>
          <w:sz w:val="32"/>
        </w:rPr>
        <w:t>山东省工业和信息化厅. 山东省制造业创新中心培育名单（2021年）</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