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360" w:lineRule="exact" w:line="600"/>
        <w:jc w:val="center"/>
      </w:pPr>
      <w:r>
        <w:rPr>
          <w:rFonts w:ascii="方正小标宋简体" w:hAnsi="方正小标宋简体" w:eastAsia="方正小标宋简体"/>
          <w:b w:val="0"/>
          <w:sz w:val="44"/>
        </w:rPr>
        <w:t>济宁市兖州区高端橡胶制品特色产业集群发展研究报告</w:t>
      </w:r>
    </w:p>
    <w:p>
      <w:pPr>
        <w:spacing w:before="240" w:after="120" w:lineRule="exact" w:line="600"/>
      </w:pPr>
      <w:r>
        <w:rPr>
          <w:rFonts w:ascii="黑体" w:hAnsi="黑体" w:eastAsia="黑体"/>
          <w:b w:val="0"/>
          <w:sz w:val="32"/>
        </w:rPr>
        <w:t>一、集群基础概况</w:t>
      </w:r>
    </w:p>
    <w:p>
      <w:pPr>
        <w:spacing w:before="120" w:after="120" w:lineRule="exact" w:line="600"/>
      </w:pPr>
      <w:r>
        <w:rPr>
          <w:rFonts w:ascii="楷体_GB2312" w:hAnsi="楷体_GB2312" w:eastAsia="楷体_GB2312"/>
          <w:b w:val="0"/>
          <w:sz w:val="32"/>
        </w:rPr>
        <w:t>（一）集群基本属性</w:t>
      </w:r>
    </w:p>
    <w:p>
      <w:pPr>
        <w:spacing w:lineRule="exact" w:line="600" w:after="0"/>
        <w:ind w:firstLine="420"/>
      </w:pPr>
      <w:r>
        <w:rPr>
          <w:rFonts w:ascii="仿宋_GB2312" w:hAnsi="仿宋_GB2312" w:eastAsia="仿宋_GB2312"/>
          <w:b w:val="0"/>
          <w:sz w:val="32"/>
        </w:rPr>
        <w:t>济宁市兖州区高端橡胶制品特色产业集群坐落于济宁市兖州区，于2025年经山东省工业和信息化厅认定入选省级特色产业集群。集群以华勤橡胶工业集团为核心企业，依托中欧国际产业园区，聚焦高端橡胶制品、高性能轮胎、输送带、工程橡胶及合成橡胶新材料等方向。它是兖州区着力打造的“橡胶化工”千亿级支柱产业集群的核心承载区，也是鲁西南地区具有重要国际影响力的橡胶产业集聚高地，对区域制造业高质量发展具有战略支撑作用。</w:t>
      </w:r>
    </w:p>
    <w:p>
      <w:pPr>
        <w:spacing w:lineRule="exact" w:line="600" w:after="0"/>
        <w:ind w:firstLine="420"/>
      </w:pPr>
      <w:r>
        <w:rPr>
          <w:rFonts w:ascii="仿宋_GB2312" w:hAnsi="仿宋_GB2312" w:eastAsia="仿宋_GB2312"/>
          <w:b w:val="0"/>
          <w:sz w:val="32"/>
        </w:rPr>
        <w:t>集群行政归属为济宁市兖州区，主导区域包括新兖镇华勤工业园及中欧国际产业园区，规划面积约6.26平方公里。从产业属性看，集群属于原材料深加工与终端制造融合型产业集群，上游衔接合成橡胶、钢帘线、炭黑等原材料，下游延伸至轮胎、输送带、高压胶管及特种工程橡胶制品。其形成“橡胶+装备+研发”一体化发展模式，产业关联度高、协同性强，是典型的县域根植型特色产业集群，配套半径短、协作成本低。</w:t>
      </w:r>
    </w:p>
    <w:p>
      <w:pPr>
        <w:spacing w:lineRule="exact" w:line="600" w:after="0"/>
        <w:ind w:firstLine="420"/>
      </w:pPr>
      <w:r>
        <w:rPr>
          <w:rFonts w:ascii="仿宋_GB2312" w:hAnsi="仿宋_GB2312" w:eastAsia="仿宋_GB2312"/>
          <w:b w:val="0"/>
          <w:sz w:val="32"/>
        </w:rPr>
        <w:t>兖州高端橡胶制品集群认定层级为省级特色产业集群，与济宁市“232”优势产业集群培育体系紧密衔接。集群以中小企业为主体、链主企业领航，集聚企业134家，构建了从原材料研发、终端产品制造到工业配套、投资运营的完整产业生态。其认定体现了在核心竞争力、协同创新、数字化转型和绿色化发展等方面的综合成效，标志着兖州橡胶产业由单点制造向集群化、高端化、国际化跃升迈出关键一步。</w:t>
      </w:r>
    </w:p>
    <w:p>
      <w:pPr>
        <w:spacing w:before="120" w:after="120" w:lineRule="exact" w:line="600"/>
      </w:pPr>
      <w:r>
        <w:rPr>
          <w:rFonts w:ascii="楷体_GB2312" w:hAnsi="楷体_GB2312" w:eastAsia="楷体_GB2312"/>
          <w:b w:val="0"/>
          <w:sz w:val="32"/>
        </w:rPr>
        <w:t>（二）规模体量</w:t>
      </w:r>
    </w:p>
    <w:p>
      <w:pPr>
        <w:spacing w:lineRule="exact" w:line="600" w:after="0"/>
        <w:ind w:firstLine="420"/>
      </w:pPr>
      <w:r>
        <w:rPr>
          <w:rFonts w:ascii="仿宋_GB2312" w:hAnsi="仿宋_GB2312" w:eastAsia="仿宋_GB2312"/>
          <w:b w:val="0"/>
          <w:sz w:val="32"/>
        </w:rPr>
        <w:t>据兖州区工业和信息化局公开数据，2024年兖州区高端橡胶制品特色产业集群产值超过191.42亿元，集聚企业134家，带动社会就业26600余人。集群内拥有国家级专精特新“小巨人”企业3家、国家制造业单项冠军企业2家、省专精特新企业20家、高新技术企业32家，初步形成了优质企业梯度培育格局。其规模体量在山东省橡胶制品类集群中居于前列，为后续冲刺千亿级目标奠定了坚实底座，区域发展带动能力持续增强。</w:t>
      </w:r>
    </w:p>
    <w:p>
      <w:pPr>
        <w:spacing w:lineRule="exact" w:line="600" w:after="0"/>
        <w:ind w:firstLine="420"/>
      </w:pPr>
      <w:r>
        <w:rPr>
          <w:rFonts w:ascii="仿宋_GB2312" w:hAnsi="仿宋_GB2312" w:eastAsia="仿宋_GB2312"/>
          <w:b w:val="0"/>
          <w:sz w:val="32"/>
        </w:rPr>
        <w:t>从运行态势看，2025年1—8月兖州区橡胶制品业完成产值95.6亿元、同比增长6.9%，实现营业收入109.4亿元、同比增长8.9%，增速高于同期全区规上工业平均水平。兖州区将橡胶化工产业瞄准千亿级目标，依托华勤高端橡胶新材料产业园等项目，力争年内新增营收50亿元、突破350亿元。集群规模持续扩张，发展后劲充足，展现出较强韧性与成长性，对全区工业经济支撑作用日益凸显。</w:t>
      </w:r>
    </w:p>
    <w:p>
      <w:pPr>
        <w:spacing w:lineRule="exact" w:line="600" w:after="0"/>
        <w:ind w:firstLine="420"/>
      </w:pPr>
      <w:r>
        <w:rPr>
          <w:rFonts w:ascii="仿宋_GB2312" w:hAnsi="仿宋_GB2312" w:eastAsia="仿宋_GB2312"/>
          <w:b w:val="0"/>
          <w:sz w:val="32"/>
        </w:rPr>
        <w:t>总体看，兖州橡胶制品集群以华勤集团为营收主引擎，2024年华勤集团营业额约651亿元，连续多年入围中国企业500强，带动上下游中小企业协同发展。对标全省乃至全国，集群在高端轮胎、钢帘线、工程橡胶等细分领域已形成显著规模优势，但整体产值距离千亿级目标仍有提升空间。需通过项目投产、产能释放进一步做大总量，巩固区域产业地位与竞争优势，推动规模与效益同步跃升。</w:t>
      </w:r>
    </w:p>
    <w:p>
      <w:pPr>
        <w:spacing w:before="120" w:after="120" w:lineRule="exact" w:line="600"/>
      </w:pPr>
      <w:r>
        <w:rPr>
          <w:rFonts w:ascii="楷体_GB2312" w:hAnsi="楷体_GB2312" w:eastAsia="楷体_GB2312"/>
          <w:b w:val="0"/>
          <w:sz w:val="32"/>
        </w:rPr>
        <w:t>（三）主导产业</w:t>
      </w:r>
    </w:p>
    <w:p>
      <w:pPr>
        <w:spacing w:lineRule="exact" w:line="600" w:after="0"/>
        <w:ind w:firstLine="420"/>
      </w:pPr>
      <w:r>
        <w:rPr>
          <w:rFonts w:ascii="仿宋_GB2312" w:hAnsi="仿宋_GB2312" w:eastAsia="仿宋_GB2312"/>
          <w:b w:val="0"/>
          <w:sz w:val="32"/>
        </w:rPr>
        <w:t>集群主导产业为高端橡胶制品，核心产品涵盖高档轿车胎、载重车胎、工程轮胎、输送带、高压胶管、钢丝帘线、聚酯切片及合成橡胶新材料等多个品种。以华勤集团为龙头，形成了从中高档乘用车胎到工程轮胎、从传统橡胶制品到智能轮胎、低滚阻轮胎等高端产品的完整谱系。产品技术含量与附加值持续提升，产业结构不断向价值链中高端攀升，高端化特征日益鲜明。</w:t>
      </w:r>
    </w:p>
    <w:p>
      <w:pPr>
        <w:spacing w:lineRule="exact" w:line="600" w:after="0"/>
        <w:ind w:firstLine="420"/>
      </w:pPr>
      <w:r>
        <w:rPr>
          <w:rFonts w:ascii="仿宋_GB2312" w:hAnsi="仿宋_GB2312" w:eastAsia="仿宋_GB2312"/>
          <w:b w:val="0"/>
          <w:sz w:val="32"/>
        </w:rPr>
        <w:t>从细分领域看，轮胎制造是集群规模最大的主导环节，集聚了倍耐力轮胎、通力轮胎、德国大陆（康迪泰克）等知名品牌产能。钢帘线与特种钢丝绳以兴达钢帘线、长龙钢丝绳为代表；合成橡胶新材料与造纸助剂、锂电池添加剂等配套环节以天成万丰、碧海化工为代表。多品类协同发展的主导产业格局已然形成，链条上下游衔接顺畅，产业生态相对健全完整。</w:t>
      </w:r>
    </w:p>
    <w:p>
      <w:pPr>
        <w:spacing w:lineRule="exact" w:line="600" w:after="0"/>
        <w:ind w:firstLine="420"/>
      </w:pPr>
      <w:r>
        <w:rPr>
          <w:rFonts w:ascii="仿宋_GB2312" w:hAnsi="仿宋_GB2312" w:eastAsia="仿宋_GB2312"/>
          <w:b w:val="0"/>
          <w:sz w:val="32"/>
        </w:rPr>
        <w:t>集群主导产业呈现“传统橡胶+新材料+智能网联”融合演进特征，华勤集团研发出植入传感器的智能轮胎，实现胎压、温度、负载等参数实时感知。其推出超55%天然及可循环材料组成、获欧洲轮胎标签法3A级评级的超高性能轮胎，并向合成橡胶新材料、绿色低碳橡胶技术延伸。主导产业结构不断优化，高端化、绿色化、智能化趋势明显，发展动能加快转换，创新引领效应持续释放。</w:t>
      </w:r>
    </w:p>
    <w:p>
      <w:pPr>
        <w:spacing w:before="240" w:after="120" w:lineRule="exact" w:line="600"/>
      </w:pPr>
      <w:r>
        <w:rPr>
          <w:rFonts w:ascii="黑体" w:hAnsi="黑体" w:eastAsia="黑体"/>
          <w:b w:val="0"/>
          <w:sz w:val="32"/>
        </w:rPr>
        <w:t>二、产业链结构分析</w:t>
      </w:r>
    </w:p>
    <w:p>
      <w:pPr>
        <w:spacing w:before="120" w:after="120" w:lineRule="exact" w:line="600"/>
      </w:pPr>
      <w:r>
        <w:rPr>
          <w:rFonts w:ascii="楷体_GB2312" w:hAnsi="楷体_GB2312" w:eastAsia="楷体_GB2312"/>
          <w:b w:val="0"/>
          <w:sz w:val="32"/>
        </w:rPr>
        <w:t>（一）产业链完整度</w:t>
      </w:r>
    </w:p>
    <w:p>
      <w:pPr>
        <w:spacing w:lineRule="exact" w:line="600" w:after="0"/>
        <w:ind w:firstLine="420"/>
      </w:pPr>
      <w:r>
        <w:rPr>
          <w:rFonts w:ascii="仿宋_GB2312" w:hAnsi="仿宋_GB2312" w:eastAsia="仿宋_GB2312"/>
          <w:b w:val="0"/>
          <w:sz w:val="32"/>
        </w:rPr>
        <w:t>兖州高端橡胶制品集群已形成较为完整的产业链条，覆盖上游原材料、中游制造、下游应用全环节。上游包括合成橡胶、钢帘线、炭黑、帘子布及助剂；中游以轮胎、输送带、高压胶管、工程橡胶制品制造为主，下游延伸至汽车整车配套、矿山冶金、港口码头及工程机械等领域。其并配套研发检测、物流服务，链条衔接较为顺畅，产业生态相对健全完整，关键环节均有骨干企业支撑。</w:t>
      </w:r>
    </w:p>
    <w:p>
      <w:pPr>
        <w:spacing w:lineRule="exact" w:line="600" w:after="0"/>
        <w:ind w:firstLine="420"/>
      </w:pPr>
      <w:r>
        <w:rPr>
          <w:rFonts w:ascii="仿宋_GB2312" w:hAnsi="仿宋_GB2312" w:eastAsia="仿宋_GB2312"/>
          <w:b w:val="0"/>
          <w:sz w:val="32"/>
        </w:rPr>
        <w:t>集群依托华勤集团构建了从上游原材料研发、下游终端产品制造到工业配套、投资运营的完整产业生态。区内集聚了倍耐力、德国大陆、贝卡尔特等世界500强合资合作企业，以及天成万丰、碧海化工、众盈药业等配套企业，关键原材料本地配套能力较强。六分力实验室建成运营，为产业链协同创新提供了重要支撑，有效降低了配套半径与协作成本，提升了整体运行效率。</w:t>
      </w:r>
    </w:p>
    <w:p>
      <w:pPr>
        <w:spacing w:lineRule="exact" w:line="600" w:after="0"/>
        <w:ind w:firstLine="420"/>
      </w:pPr>
      <w:r>
        <w:rPr>
          <w:rFonts w:ascii="仿宋_GB2312" w:hAnsi="仿宋_GB2312" w:eastAsia="仿宋_GB2312"/>
          <w:b w:val="0"/>
          <w:sz w:val="32"/>
        </w:rPr>
        <w:t>总体看，集群产业链完整度较高，核心环节均有骨干企业支撑，上下游协作紧密，产业韧性较强。但与先进地区相比，部分高端原材料如溶聚丁苯橡胶、特种合成橡胶仍依赖外部采购，部分关键设备与高端助剂本地配套率有待提升。下一步需围绕“橡胶+装备+研发”模式深化补链，提升产业链自主可控水平与整体协同效率，增强抗风险能力，集群综合竞争优势与发展韧性持续增强。</w:t>
      </w:r>
    </w:p>
    <w:p>
      <w:pPr>
        <w:spacing w:before="120" w:after="120" w:lineRule="exact" w:line="600"/>
      </w:pPr>
      <w:r>
        <w:rPr>
          <w:rFonts w:ascii="楷体_GB2312" w:hAnsi="楷体_GB2312" w:eastAsia="楷体_GB2312"/>
          <w:b w:val="0"/>
          <w:sz w:val="32"/>
        </w:rPr>
        <w:t>（二）产业链短板</w:t>
      </w:r>
    </w:p>
    <w:p>
      <w:pPr>
        <w:spacing w:lineRule="exact" w:line="600" w:after="0"/>
        <w:ind w:firstLine="420"/>
      </w:pPr>
      <w:r>
        <w:rPr>
          <w:rFonts w:ascii="仿宋_GB2312" w:hAnsi="仿宋_GB2312" w:eastAsia="仿宋_GB2312"/>
          <w:b w:val="0"/>
          <w:sz w:val="32"/>
        </w:rPr>
        <w:t>从产业链短板看，集群上游高端合成橡胶原料对外依存度较高，部分特种橡胶、高端助剂仍需从省外或进口采购，本地原料保障能力存在薄弱环节。轮胎用关键原材料如白炭黑、部分高性能纤维仍以外购为主，产业链上游增值空间未能充分留在本地，制约了整体效益提升。关键环节的安全可控水平有待加强，需通过本地配套项目补齐原料短板，把更多增值留在兖州。</w:t>
      </w:r>
    </w:p>
    <w:p>
      <w:pPr>
        <w:spacing w:lineRule="exact" w:line="600" w:after="0"/>
        <w:ind w:firstLine="420"/>
      </w:pPr>
      <w:r>
        <w:rPr>
          <w:rFonts w:ascii="仿宋_GB2312" w:hAnsi="仿宋_GB2312" w:eastAsia="仿宋_GB2312"/>
          <w:b w:val="0"/>
          <w:sz w:val="32"/>
        </w:rPr>
        <w:t>中游制造环节虽具备较强规模优势，但部分传统产品线同质化竞争明显，低端产能有待出清，工程橡胶、特种胶管等细分领域企业数量偏少。产品谱系有待丰富，下游应用端对主机厂配套依赖度较高，自主品牌终端渠道与后市场服务体系尚不完善。产业链价值向服务端延伸不足，整体盈利模式仍偏重制造环节，亟需向“制造+服务”转型，集群综合竞争优势与发展韧性持续增强。</w:t>
      </w:r>
    </w:p>
    <w:p>
      <w:pPr>
        <w:spacing w:lineRule="exact" w:line="600" w:after="0"/>
        <w:ind w:firstLine="420"/>
      </w:pPr>
      <w:r>
        <w:rPr>
          <w:rFonts w:ascii="仿宋_GB2312" w:hAnsi="仿宋_GB2312" w:eastAsia="仿宋_GB2312"/>
          <w:b w:val="0"/>
          <w:sz w:val="32"/>
        </w:rPr>
        <w:t>创新链与产业链融合深度仍有提升空间，部分中小企业研发投入有限、承接成果转化能力偏弱，物流与供应链数字化协同水平不均衡。跨企业信息共享机制尚不健全，绿色低碳转型所需的可循环材料、低碳工艺仍有短板，制约了整体提质增效。需通过精准补链强链，补齐关键原材料、高端装备与服务平台等薄弱环节，推动产业链迈向更高能级，集群综合竞争优势与发展韧性持续增强。</w:t>
      </w:r>
    </w:p>
    <w:p>
      <w:pPr>
        <w:spacing w:before="120" w:after="120" w:lineRule="exact" w:line="600"/>
      </w:pPr>
      <w:r>
        <w:rPr>
          <w:rFonts w:ascii="楷体_GB2312" w:hAnsi="楷体_GB2312" w:eastAsia="楷体_GB2312"/>
          <w:b w:val="0"/>
          <w:sz w:val="32"/>
        </w:rPr>
        <w:t>（三）价值链位置</w:t>
      </w:r>
    </w:p>
    <w:p>
      <w:pPr>
        <w:spacing w:lineRule="exact" w:line="600" w:after="0"/>
        <w:ind w:firstLine="420"/>
      </w:pPr>
      <w:r>
        <w:rPr>
          <w:rFonts w:ascii="仿宋_GB2312" w:hAnsi="仿宋_GB2312" w:eastAsia="仿宋_GB2312"/>
          <w:b w:val="0"/>
          <w:sz w:val="32"/>
        </w:rPr>
        <w:t>集群在全球价值链中已占据中高端位置，华勤集团与意大利倍耐力、美国固特异、德国大陆等世界500强合资合作，建成国际一流橡胶科技中心。其卡客车轮胎兼具绿色环保与可翻新特性，乘用车轮胎主打高价值高性能，摩托车轮胎配套大排量赛事用车，工程橡胶产品深度嵌入煤矿、冶金、码头等重点行业。国际竞争力稳步增强，部分高端细分领域已具备全球话语权与影响力。</w:t>
      </w:r>
    </w:p>
    <w:p>
      <w:pPr>
        <w:spacing w:lineRule="exact" w:line="600" w:after="0"/>
        <w:ind w:firstLine="420"/>
      </w:pPr>
      <w:r>
        <w:rPr>
          <w:rFonts w:ascii="仿宋_GB2312" w:hAnsi="仿宋_GB2312" w:eastAsia="仿宋_GB2312"/>
          <w:b w:val="0"/>
          <w:sz w:val="32"/>
        </w:rPr>
        <w:t>从价值分布看，集群正由“制造加工”向“研发+品牌+服务”攀升，华勤研发的超高性能轮胎专供豪华车及高端电动汽车，产品附加值显著高于普通轮胎。智能轮胎、静音轮胎、低滚阻轮胎等新产品通过材料配方与传感技术提升溢价能力，带动整体价值水平上移。本地配套企业多处于零部件与材料环节，总体附加值低于整机与品牌端，价值链两端仍有上探空间。</w:t>
      </w:r>
    </w:p>
    <w:p>
      <w:pPr>
        <w:spacing w:lineRule="exact" w:line="600" w:after="0"/>
        <w:ind w:firstLine="420"/>
      </w:pPr>
      <w:r>
        <w:rPr>
          <w:rFonts w:ascii="仿宋_GB2312" w:hAnsi="仿宋_GB2312" w:eastAsia="仿宋_GB2312"/>
          <w:b w:val="0"/>
          <w:sz w:val="32"/>
        </w:rPr>
        <w:t>对标国际先进，集群在部分高端细分领域已具备全球竞争力，但整体品牌溢价与专利布局仍弱于米其林、普利司通等国际巨头。需进一步强化标准制定、知识产权保护与全球营销网络建设，推动更多企业从代工配套走向自主品牌出海。提升在价值链中的分配地位与话语权，加快向全球价值链中高端迈进，赢得未来发展主动权，集群综合竞争优势与发展韧性持续增强。</w:t>
      </w:r>
    </w:p>
    <w:p>
      <w:pPr>
        <w:spacing w:before="120" w:after="120" w:lineRule="exact" w:line="600"/>
      </w:pPr>
      <w:r>
        <w:rPr>
          <w:rFonts w:ascii="楷体_GB2312" w:hAnsi="楷体_GB2312" w:eastAsia="楷体_GB2312"/>
          <w:b w:val="0"/>
          <w:sz w:val="32"/>
        </w:rPr>
        <w:t>（四）产业分工</w:t>
      </w:r>
    </w:p>
    <w:p>
      <w:pPr>
        <w:spacing w:lineRule="exact" w:line="600" w:after="0"/>
        <w:ind w:firstLine="420"/>
      </w:pPr>
      <w:r>
        <w:rPr>
          <w:rFonts w:ascii="仿宋_GB2312" w:hAnsi="仿宋_GB2312" w:eastAsia="仿宋_GB2312"/>
          <w:b w:val="0"/>
          <w:sz w:val="32"/>
        </w:rPr>
        <w:t>集群内部形成了以链主企业领航、中小企业专业配套的分工格局，华勤集团作为链主，聚焦高端轮胎、工程橡胶及新材料研发制造。倍耐力、通力、德国大陆等承担品牌乘用车胎与特种橡胶产品制造；兴达钢帘线、长龙钢丝绳专注钢丝帘线与特种钢丝绳；天成万丰、碧海化工等提供助剂与原材料。分工清晰、协作高效，形成了稳定的产业协作网络，专业化水平不断提升。</w:t>
      </w:r>
    </w:p>
    <w:p>
      <w:pPr>
        <w:spacing w:lineRule="exact" w:line="600" w:after="0"/>
        <w:ind w:firstLine="420"/>
      </w:pPr>
      <w:r>
        <w:rPr>
          <w:rFonts w:ascii="仿宋_GB2312" w:hAnsi="仿宋_GB2312" w:eastAsia="仿宋_GB2312"/>
          <w:b w:val="0"/>
          <w:sz w:val="32"/>
        </w:rPr>
        <w:t>从空间分工看，新兖镇华勤工业园与中欧国际产业园区是核心制造与研发承载区，周边配套中小企业沿产业链分布，形成“龙头在园区、配套在周边”的空间格局。政府通过“管委会+公司”招商与产业研究所机制，推动造纸、橡胶、精细化工等主导产业“一个产业一个研究所”，强化了产业链专业化分工与协同。空间组织效率高，技术外溢与配套协作便利，集群运行成本持续下降。</w:t>
      </w:r>
    </w:p>
    <w:p>
      <w:pPr>
        <w:spacing w:lineRule="exact" w:line="600" w:after="0"/>
        <w:ind w:firstLine="420"/>
      </w:pPr>
      <w:r>
        <w:rPr>
          <w:rFonts w:ascii="仿宋_GB2312" w:hAnsi="仿宋_GB2312" w:eastAsia="仿宋_GB2312"/>
          <w:b w:val="0"/>
          <w:sz w:val="32"/>
        </w:rPr>
        <w:t>在区域分工层面，兖州高端橡胶制品集群与省内广饶橡胶轮胎、曹县橡胶及助剂等集群形成错位协同，共同构成山东橡胶产业高地。兖州侧重高端乘用车胎、工程橡胶与新材料，广饶以大宗轮胎见长，曹县聚焦橡胶助剂，三地优势互补、良性互动。集群内企业按产品品类与工艺环节专业化分工，避免了同质化内耗，提升了区域整体竞争力与协同效率。</w:t>
      </w:r>
    </w:p>
    <w:p>
      <w:pPr>
        <w:spacing w:before="240" w:after="120" w:lineRule="exact" w:line="600"/>
      </w:pPr>
      <w:r>
        <w:rPr>
          <w:rFonts w:ascii="黑体" w:hAnsi="黑体" w:eastAsia="黑体"/>
          <w:b w:val="0"/>
          <w:sz w:val="32"/>
        </w:rPr>
        <w:t>三、企业主体结构</w:t>
      </w:r>
    </w:p>
    <w:p>
      <w:pPr>
        <w:spacing w:before="120" w:after="120" w:lineRule="exact" w:line="600"/>
      </w:pPr>
      <w:r>
        <w:rPr>
          <w:rFonts w:ascii="楷体_GB2312" w:hAnsi="楷体_GB2312" w:eastAsia="楷体_GB2312"/>
          <w:b w:val="0"/>
          <w:sz w:val="32"/>
        </w:rPr>
        <w:t>（一）企业规模结构</w:t>
      </w:r>
    </w:p>
    <w:p>
      <w:pPr>
        <w:spacing w:lineRule="exact" w:line="600" w:after="0"/>
        <w:ind w:firstLine="420"/>
      </w:pPr>
      <w:r>
        <w:rPr>
          <w:rFonts w:ascii="仿宋_GB2312" w:hAnsi="仿宋_GB2312" w:eastAsia="仿宋_GB2312"/>
          <w:b w:val="0"/>
          <w:sz w:val="32"/>
        </w:rPr>
        <w:t>集群以中小企业为主体、龙头企业领航，截至认定时共集聚企业134家，其中规模以上橡塑企业十余家，形成了“链主企业+专精特新+中小微企业”的梯次结构。华勤集团作为千亿级目标企业，是集群规模核心；其余企业以中小规模为主，专业化配套特征明显，规模结构呈典型的“金字塔”形态。大中小企业融通发展生态正在形成，但腰部企业梯队尚需进一步壮大，结构均衡性有待改善。</w:t>
      </w:r>
    </w:p>
    <w:p>
      <w:pPr>
        <w:spacing w:lineRule="exact" w:line="600" w:after="0"/>
        <w:ind w:firstLine="420"/>
      </w:pPr>
      <w:r>
        <w:rPr>
          <w:rFonts w:ascii="仿宋_GB2312" w:hAnsi="仿宋_GB2312" w:eastAsia="仿宋_GB2312"/>
          <w:b w:val="0"/>
          <w:sz w:val="32"/>
        </w:rPr>
        <w:t>从优质企业分布看，集群拥有国家级专精特新“小巨人”企业3家、国家制造业单项冠军企业2家、省专精特新企业20家、高新技术企业32家。建成国家级创新平台3个、省级创新平台23个，有效发明专利140项，优质企业占比在县级集群中处于较高水平。但规上企业与亿元级企业数量仍有扩充空间，需加快培育更多骨干企业，优化企业规模结构。</w:t>
      </w:r>
    </w:p>
    <w:p>
      <w:pPr>
        <w:spacing w:lineRule="exact" w:line="600" w:after="0"/>
        <w:ind w:firstLine="420"/>
      </w:pPr>
      <w:r>
        <w:rPr>
          <w:rFonts w:ascii="仿宋_GB2312" w:hAnsi="仿宋_GB2312" w:eastAsia="仿宋_GB2312"/>
          <w:b w:val="0"/>
          <w:sz w:val="32"/>
        </w:rPr>
        <w:t>总体看，集群企业规模结构“头部强、腰部弱”特征突出，链主企业体量远超配套中小企业，中型骨干企业偏少，抗风险能力受制于单一企业波动。需培育更多亿元级、十亿元级“腰部”企业，畅通“小升规、规改股、股上市”通道，优化大中小企业融通发展生态。增强集群抗风险能力与持续增长动力，避免个别企业波动对整体造成过大冲击，提升发展稳定性。</w:t>
      </w:r>
    </w:p>
    <w:p>
      <w:pPr>
        <w:spacing w:before="120" w:after="120" w:lineRule="exact" w:line="600"/>
      </w:pPr>
      <w:r>
        <w:rPr>
          <w:rFonts w:ascii="楷体_GB2312" w:hAnsi="楷体_GB2312" w:eastAsia="楷体_GB2312"/>
          <w:b w:val="0"/>
          <w:sz w:val="32"/>
        </w:rPr>
        <w:t>（二）产权结构</w:t>
      </w:r>
    </w:p>
    <w:p>
      <w:pPr>
        <w:spacing w:lineRule="exact" w:line="600" w:after="0"/>
        <w:ind w:firstLine="420"/>
      </w:pPr>
      <w:r>
        <w:rPr>
          <w:rFonts w:ascii="仿宋_GB2312" w:hAnsi="仿宋_GB2312" w:eastAsia="仿宋_GB2312"/>
          <w:b w:val="0"/>
          <w:sz w:val="32"/>
        </w:rPr>
        <w:t>集群产权结构呈现多元化特征，华勤集团为民营控股的国际化企业集团，通过合资合作引入意大利倍耐力、德国大陆、比利时贝卡尔特等世界500强资本。形成混合所有制与国际合资并存的产权形态，通力轮胎、兴达钢帘线等企业亦采用合资或民营控股模式，产权活力较强。市场化运作程度高，资源配置效率持续优化，为集群注入多元资本与治理基因。</w:t>
      </w:r>
    </w:p>
    <w:p>
      <w:pPr>
        <w:spacing w:lineRule="exact" w:line="600" w:after="0"/>
        <w:ind w:firstLine="420"/>
      </w:pPr>
      <w:r>
        <w:rPr>
          <w:rFonts w:ascii="仿宋_GB2312" w:hAnsi="仿宋_GB2312" w:eastAsia="仿宋_GB2312"/>
          <w:b w:val="0"/>
          <w:sz w:val="32"/>
        </w:rPr>
        <w:t>从资本来源看，集群既有本土民营企业根基，又有外资与央企成分，华勤与多家跨国公司的合资项目带来先进技术与管理经验。天成化工与芬兰凯米拉合作成为全球最大造纸助剂企业，部分配套企业由本土民营资本兴办，多元产权促进要素流动。增强了集群开放度，也为后续资本运作与上市培育提供了多元路径与制度空间，集群综合竞争优势与发展韧性持续增强。</w:t>
      </w:r>
    </w:p>
    <w:p>
      <w:pPr>
        <w:spacing w:lineRule="exact" w:line="600" w:after="0"/>
        <w:ind w:firstLine="420"/>
      </w:pPr>
      <w:r>
        <w:rPr>
          <w:rFonts w:ascii="仿宋_GB2312" w:hAnsi="仿宋_GB2312" w:eastAsia="仿宋_GB2312"/>
          <w:b w:val="0"/>
          <w:sz w:val="32"/>
        </w:rPr>
        <w:t>总体看，民营资本是集群产权主体，外资参股提升了国际化水平，混合所有制改革增强了治理效能，但国有与集体资本参与相对较少。产业链关键环节的国有资本引导作用有待加强，宜在创新平台、公共服务与重大项目上引入多元资本，优化产权结构。提升资源配置效率与抗周期能力，为集群长期稳定发展夯实制度基础，增强发展的稳健性，集群综合竞争优势与发展韧性持续增强。</w:t>
      </w:r>
    </w:p>
    <w:p>
      <w:pPr>
        <w:spacing w:before="120" w:after="120" w:lineRule="exact" w:line="600"/>
      </w:pPr>
      <w:r>
        <w:rPr>
          <w:rFonts w:ascii="楷体_GB2312" w:hAnsi="楷体_GB2312" w:eastAsia="楷体_GB2312"/>
          <w:b w:val="0"/>
          <w:sz w:val="32"/>
        </w:rPr>
        <w:t>（三）头部企业</w:t>
      </w:r>
    </w:p>
    <w:p>
      <w:pPr>
        <w:spacing w:lineRule="exact" w:line="600" w:after="0"/>
        <w:ind w:firstLine="420"/>
      </w:pPr>
      <w:r>
        <w:rPr>
          <w:rFonts w:ascii="仿宋_GB2312" w:hAnsi="仿宋_GB2312" w:eastAsia="仿宋_GB2312"/>
          <w:b w:val="0"/>
          <w:sz w:val="32"/>
        </w:rPr>
        <w:t>华勤橡胶工业集团是集群绝对头部企业，创建于1989年，以高端橡胶产业为主导，2024年营业额约651亿元，连续多年入围中国企业500强。业务涵盖轮胎、工程橡胶、金属制品、新能源等领域，是集群链主与技术创新策源地，带动上下游百余家企业协同发展。对区域工业经济与就业具有举足轻重的支撑作用，是集群规模与创新的核心引擎。</w:t>
      </w:r>
    </w:p>
    <w:p>
      <w:pPr>
        <w:spacing w:lineRule="exact" w:line="600" w:after="0"/>
        <w:ind w:firstLine="420"/>
      </w:pPr>
      <w:r>
        <w:rPr>
          <w:rFonts w:ascii="仿宋_GB2312" w:hAnsi="仿宋_GB2312" w:eastAsia="仿宋_GB2312"/>
          <w:b w:val="0"/>
          <w:sz w:val="32"/>
        </w:rPr>
        <w:t>除华勤外，集群头部企业还包括倍耐力轮胎（乘用车胎）、通力轮胎（卡客车胎）、德国大陆康迪泰克（特种橡胶）、兴达钢帘线（钢丝帘线）等。长龙钢丝绳（特种钢丝绳）、天成万丰（阳离子醚化剂）等亦为重要头部企业，多为华勤合资合作方或核心配套商。它们在各自细分领域具有较强市场地位与技术优势，共同构成集群头部企业方阵，引领产业升级。</w:t>
      </w:r>
    </w:p>
    <w:p>
      <w:pPr>
        <w:spacing w:lineRule="exact" w:line="600" w:after="0"/>
        <w:ind w:firstLine="420"/>
      </w:pPr>
      <w:r>
        <w:rPr>
          <w:rFonts w:ascii="仿宋_GB2312" w:hAnsi="仿宋_GB2312" w:eastAsia="仿宋_GB2312"/>
          <w:b w:val="0"/>
          <w:sz w:val="32"/>
        </w:rPr>
        <w:t>头部企业国际化程度高，与倍耐力总部联合研发智能轮胎，产品出口90余个国家和地区，是集群参与全球竞争的主力军。华勤高端橡胶新材料产业园、六分力实验室等重大项目由头部企业牵头，是集群产能与技术升级的核心载体。需支持头部企业冲刺千亿强企，并发挥其“以大带小”作用，带动中小企业协同跃升，强化链式协同发展格局，集群综合竞争优势与发展韧性持续增强。</w:t>
      </w:r>
    </w:p>
    <w:p>
      <w:pPr>
        <w:spacing w:before="120" w:after="120" w:lineRule="exact" w:line="600"/>
      </w:pPr>
      <w:r>
        <w:rPr>
          <w:rFonts w:ascii="楷体_GB2312" w:hAnsi="楷体_GB2312" w:eastAsia="楷体_GB2312"/>
          <w:b w:val="0"/>
          <w:sz w:val="32"/>
        </w:rPr>
        <w:t>（四）企业集聚特征</w:t>
      </w:r>
    </w:p>
    <w:p>
      <w:pPr>
        <w:spacing w:lineRule="exact" w:line="600" w:after="0"/>
        <w:ind w:firstLine="420"/>
      </w:pPr>
      <w:r>
        <w:rPr>
          <w:rFonts w:ascii="仿宋_GB2312" w:hAnsi="仿宋_GB2312" w:eastAsia="仿宋_GB2312"/>
          <w:b w:val="0"/>
          <w:sz w:val="32"/>
        </w:rPr>
        <w:t>集群企业空间集聚特征明显，主要布局于新兖镇华勤工业园、中欧国际产业园区及周边镇街，形成以龙头为圆心、配套企业环绕的圈层式集聚。这种“园中园”布局降低了配套半径与物流成本，促进了技术外溢与协作网络形成，是典型的根植型县域产业集群。企业扎根本地、配套就近，集聚经济效应持续释放，根植性与稳定性较强，集群综合竞争优势与发展韧性持续增强。</w:t>
      </w:r>
    </w:p>
    <w:p>
      <w:pPr>
        <w:spacing w:lineRule="exact" w:line="600" w:after="0"/>
        <w:ind w:firstLine="420"/>
      </w:pPr>
      <w:r>
        <w:rPr>
          <w:rFonts w:ascii="仿宋_GB2312" w:hAnsi="仿宋_GB2312" w:eastAsia="仿宋_GB2312"/>
          <w:b w:val="0"/>
          <w:sz w:val="32"/>
        </w:rPr>
        <w:t>从集聚类型看，集群属于“龙头企业驱动型”集聚，华勤集团的存在吸引上下游配套企业落地，形成强关联网络，区内企业围绕轮胎、钢帘线、助剂等形成专业化分工聚落。配套本地化率较高，中欧产业园的“去行政化”管理模式与产业基金支持，进一步强化了企业集聚黏性。提升了集群整体运行效率与组织韧性，使集群在区域竞争中具备成本与协作双重优势。</w:t>
      </w:r>
    </w:p>
    <w:p>
      <w:pPr>
        <w:spacing w:lineRule="exact" w:line="600" w:after="0"/>
        <w:ind w:firstLine="420"/>
      </w:pPr>
      <w:r>
        <w:rPr>
          <w:rFonts w:ascii="仿宋_GB2312" w:hAnsi="仿宋_GB2312" w:eastAsia="仿宋_GB2312"/>
          <w:b w:val="0"/>
          <w:sz w:val="32"/>
        </w:rPr>
        <w:t>集群集聚效应已显，但企业间纵向协作多于横向联合，跨企业联合创新与共享制造仍有拓展空间，需搭建公共供应链平台促进大中小企业融通。推动配套企业向“专精特新”升级，提升集聚质量与根植性，避免配套企业外流，巩固集群空间组织优势。让集聚红利更多留在本地、惠及中小企业，以高质量集聚支撑集群可持续发展，集群综合竞争优势与发展韧性持续增强。</w:t>
      </w:r>
    </w:p>
    <w:p>
      <w:pPr>
        <w:spacing w:before="240" w:after="120" w:lineRule="exact" w:line="600"/>
      </w:pPr>
      <w:r>
        <w:rPr>
          <w:rFonts w:ascii="黑体" w:hAnsi="黑体" w:eastAsia="黑体"/>
          <w:b w:val="0"/>
          <w:sz w:val="32"/>
        </w:rPr>
        <w:t>四、创新能力</w:t>
      </w:r>
    </w:p>
    <w:p>
      <w:pPr>
        <w:spacing w:before="120" w:after="120" w:lineRule="exact" w:line="600"/>
      </w:pPr>
      <w:r>
        <w:rPr>
          <w:rFonts w:ascii="楷体_GB2312" w:hAnsi="楷体_GB2312" w:eastAsia="楷体_GB2312"/>
          <w:b w:val="0"/>
          <w:sz w:val="32"/>
        </w:rPr>
        <w:t>（一）研发投入</w:t>
      </w:r>
    </w:p>
    <w:p>
      <w:pPr>
        <w:spacing w:lineRule="exact" w:line="600" w:after="0"/>
        <w:ind w:firstLine="420"/>
      </w:pPr>
      <w:r>
        <w:rPr>
          <w:rFonts w:ascii="仿宋_GB2312" w:hAnsi="仿宋_GB2312" w:eastAsia="仿宋_GB2312"/>
          <w:b w:val="0"/>
          <w:sz w:val="32"/>
        </w:rPr>
        <w:t>集群研发投入以头部企业为主导，华勤集团持续高强度投入橡胶科技研发，建成国际一流橡胶科技中心与六分力实验室，与倍耐力总部联合攻关智能轮胎、低滚阻轮胎等前沿产品。天成万丰、碧海化工等配套企业围绕助剂与新材料开展专项研发，研发投入强度在县级集群中处于较高水平，创新投入意愿稳步增强。头部企业引领、配套企业跟进的研发投入格局初步形成，创新活力不断释放。</w:t>
      </w:r>
    </w:p>
    <w:p>
      <w:pPr>
        <w:spacing w:lineRule="exact" w:line="600" w:after="0"/>
        <w:ind w:firstLine="420"/>
      </w:pPr>
      <w:r>
        <w:rPr>
          <w:rFonts w:ascii="仿宋_GB2312" w:hAnsi="仿宋_GB2312" w:eastAsia="仿宋_GB2312"/>
          <w:b w:val="0"/>
          <w:sz w:val="32"/>
        </w:rPr>
        <w:t>从创新资源看，集群拥有国家级创新平台3个、省级创新平台23个，有效发明专利140项，高新技术企业32家，创新要素储备较为厚实。政府通过“助企攀登”政策推进企业智能化改造，对技改项目给予奖励，2020年区财政兑现技改奖励资金200余万元，撬动企业加大研发投入。财政政策对创新投入的杠杆效应逐步显现，企业技改与研发积极性明显提升。</w:t>
      </w:r>
    </w:p>
    <w:p>
      <w:pPr>
        <w:spacing w:lineRule="exact" w:line="600" w:after="0"/>
        <w:ind w:firstLine="420"/>
      </w:pPr>
      <w:r>
        <w:rPr>
          <w:rFonts w:ascii="仿宋_GB2312" w:hAnsi="仿宋_GB2312" w:eastAsia="仿宋_GB2312"/>
          <w:b w:val="0"/>
          <w:sz w:val="32"/>
        </w:rPr>
        <w:t>总体看，集群研发投入集中度高，头部企业是创新投入主力，但广大中小企业研发投入相对不足，创新资源分布不均衡，需通过创新券、研发费用补助等政策引导中小企业加大投入。鼓励联合高校院所共建研发机构，提升集群整体研发投入强度与均衡性，避免创新活动过度依赖少数龙头企业。构建大中小企业协同投入的创新体系，夯实集群创新根基与可持续发展能力。</w:t>
      </w:r>
    </w:p>
    <w:p>
      <w:pPr>
        <w:spacing w:before="120" w:after="120" w:lineRule="exact" w:line="600"/>
      </w:pPr>
      <w:r>
        <w:rPr>
          <w:rFonts w:ascii="楷体_GB2312" w:hAnsi="楷体_GB2312" w:eastAsia="楷体_GB2312"/>
          <w:b w:val="0"/>
          <w:sz w:val="32"/>
        </w:rPr>
        <w:t>（二）创新产出</w:t>
      </w:r>
    </w:p>
    <w:p>
      <w:pPr>
        <w:spacing w:lineRule="exact" w:line="600" w:after="0"/>
        <w:ind w:firstLine="420"/>
      </w:pPr>
      <w:r>
        <w:rPr>
          <w:rFonts w:ascii="仿宋_GB2312" w:hAnsi="仿宋_GB2312" w:eastAsia="仿宋_GB2312"/>
          <w:b w:val="0"/>
          <w:sz w:val="32"/>
        </w:rPr>
        <w:t>集群创新产出成果丰硕，华勤集团突破传统橡胶物理属性，研发出植入高度集成化传感器的智能轮胎，可实时感知胎压、温度、负载与力学特性。静音轮胎通过优化胎面花纹显著降噪；低滚阻轮胎改进材料配方减少能耗，超高性能轮胎获欧洲轮胎标签法3A级评级，创新含量突出。产品竞争力显著增强，多项成果达到行业领先水平，引领技术发展方向。</w:t>
      </w:r>
    </w:p>
    <w:p>
      <w:pPr>
        <w:spacing w:lineRule="exact" w:line="600" w:after="0"/>
        <w:ind w:firstLine="420"/>
      </w:pPr>
      <w:r>
        <w:rPr>
          <w:rFonts w:ascii="仿宋_GB2312" w:hAnsi="仿宋_GB2312" w:eastAsia="仿宋_GB2312"/>
          <w:b w:val="0"/>
          <w:sz w:val="32"/>
        </w:rPr>
        <w:t>截至目前，集群累计获得有效发明专利140项，高新技术企业达32家，国家级专精特新“小巨人”3家、单项冠军2家，创新主体阵容齐整。新产品涵盖智能轮胎、可翻新卡客车胎、超55%天然及可循环材料轮胎、特种工程橡胶等，产品迭代速度加快。创新产出在橡胶制品领域具有较强示范意义，为集群高端化提供了有力支撑，集群综合竞争优势与发展韧性持续增强。</w:t>
      </w:r>
    </w:p>
    <w:p>
      <w:pPr>
        <w:spacing w:lineRule="exact" w:line="600" w:after="0"/>
        <w:ind w:firstLine="420"/>
      </w:pPr>
      <w:r>
        <w:rPr>
          <w:rFonts w:ascii="仿宋_GB2312" w:hAnsi="仿宋_GB2312" w:eastAsia="仿宋_GB2312"/>
          <w:b w:val="0"/>
          <w:sz w:val="32"/>
        </w:rPr>
        <w:t>创新产出正加速转化为市场竞争力，华勤乘用车轮胎专供豪华车与高端电动汽车，工程橡胶嵌入煤矿、冶金、码头等重点行业，产品附加值持续提升。但部分中小企业创新产出仍以实用新型与工艺改进为主，原始创新与高价值专利占比有待提高，需强化知识产权布局与运用。提升创新产出的质量与含金量，推动更多成果向高价值专利与标准升级，增强核心竞争力。</w:t>
      </w:r>
    </w:p>
    <w:p>
      <w:pPr>
        <w:spacing w:before="120" w:after="120" w:lineRule="exact" w:line="600"/>
      </w:pPr>
      <w:r>
        <w:rPr>
          <w:rFonts w:ascii="楷体_GB2312" w:hAnsi="楷体_GB2312" w:eastAsia="楷体_GB2312"/>
          <w:b w:val="0"/>
          <w:sz w:val="32"/>
        </w:rPr>
        <w:t>（三）创新平台</w:t>
      </w:r>
    </w:p>
    <w:p>
      <w:pPr>
        <w:spacing w:lineRule="exact" w:line="600" w:after="0"/>
        <w:ind w:firstLine="420"/>
      </w:pPr>
      <w:r>
        <w:rPr>
          <w:rFonts w:ascii="仿宋_GB2312" w:hAnsi="仿宋_GB2312" w:eastAsia="仿宋_GB2312"/>
          <w:b w:val="0"/>
          <w:sz w:val="32"/>
        </w:rPr>
        <w:t>集群创新平台建设成效显著，建成国家级创新平台3个、省级创新平台23个，涵盖橡胶科技研发、轮胎测试、材料分析等领域，平台能级居行业前列。华勤橡胶科技中心与六分力实验室是核心研发载体，其中六分力实验室建成运营，为轮胎力学特性测试提供关键支撑，硬件与智力基础坚实。平台体系支撑了集群持续创新与关键技术攻关，创新策源能力不断增强。</w:t>
      </w:r>
    </w:p>
    <w:p>
      <w:pPr>
        <w:spacing w:lineRule="exact" w:line="600" w:after="0"/>
        <w:ind w:firstLine="420"/>
      </w:pPr>
      <w:r>
        <w:rPr>
          <w:rFonts w:ascii="仿宋_GB2312" w:hAnsi="仿宋_GB2312" w:eastAsia="仿宋_GB2312"/>
          <w:b w:val="0"/>
          <w:sz w:val="32"/>
        </w:rPr>
        <w:t>依托“一个产业一个研究所”机制，兖州区对应橡胶等主导产业设立产业研究所，强化产学研协同，华勤与倍耐力、固特异、大陆等共建国际研发网络，引入全球创新资源。政府推进工业母机“产业大脑”等数字化平台建设，为集群创新提供数据与算力支撑，协同创新网络不断织密。平台体系逐步完善，开放共享水平稳步提升，创新资源配置更趋高效。</w:t>
      </w:r>
    </w:p>
    <w:p>
      <w:pPr>
        <w:spacing w:lineRule="exact" w:line="600" w:after="0"/>
        <w:ind w:firstLine="420"/>
      </w:pPr>
      <w:r>
        <w:rPr>
          <w:rFonts w:ascii="仿宋_GB2312" w:hAnsi="仿宋_GB2312" w:eastAsia="仿宋_GB2312"/>
          <w:b w:val="0"/>
          <w:sz w:val="32"/>
        </w:rPr>
        <w:t>总体看，集群创新平台以企业自建为主、公共服务平台为辅，高能级平台集中在头部企业，中小企业共享平台使用率不高，面向细分领域的公共中试、检测平台有待补充。宜建设集群级共性技术研发与中试基地，降低中小企业创新门槛，提升平台开放共享水平，让创新资源惠及更多市场主体。构建层级分明、开放共享的平台体系，增强集群整体创新能力与普惠性。</w:t>
      </w:r>
    </w:p>
    <w:p>
      <w:pPr>
        <w:spacing w:before="120" w:after="120" w:lineRule="exact" w:line="600"/>
      </w:pPr>
      <w:r>
        <w:rPr>
          <w:rFonts w:ascii="楷体_GB2312" w:hAnsi="楷体_GB2312" w:eastAsia="楷体_GB2312"/>
          <w:b w:val="0"/>
          <w:sz w:val="32"/>
        </w:rPr>
        <w:t>（四）技术转化</w:t>
      </w:r>
    </w:p>
    <w:p>
      <w:pPr>
        <w:spacing w:lineRule="exact" w:line="600" w:after="0"/>
        <w:ind w:firstLine="420"/>
      </w:pPr>
      <w:r>
        <w:rPr>
          <w:rFonts w:ascii="仿宋_GB2312" w:hAnsi="仿宋_GB2312" w:eastAsia="仿宋_GB2312"/>
          <w:b w:val="0"/>
          <w:sz w:val="32"/>
        </w:rPr>
        <w:t>集群技术转化通道较为顺畅，华勤集团将智能轮胎、低滚阻轮胎等研发成果快速导入量产，与倍耐力总部合作研发的智能轮胎已投向高端电动汽车市场。兴达钢帘线、长龙钢丝绳生产线完成改造，六分力实验室成果直接服务于产品测试与工艺优化，转化效率较高，创新链与产业链衔接较为紧密。科技成果向现实生产力转化的通道较为通畅，产业化的速度与质量同步提升。</w:t>
      </w:r>
    </w:p>
    <w:p>
      <w:pPr>
        <w:spacing w:lineRule="exact" w:line="600" w:after="0"/>
        <w:ind w:firstLine="420"/>
      </w:pPr>
      <w:r>
        <w:rPr>
          <w:rFonts w:ascii="仿宋_GB2312" w:hAnsi="仿宋_GB2312" w:eastAsia="仿宋_GB2312"/>
          <w:b w:val="0"/>
          <w:sz w:val="32"/>
        </w:rPr>
        <w:t>政府以“助企攀登”政策推动智能化改造与技术落地，组织企业与山东大学、西安交大等高校对接，开展智能焊接、轻量化材料联合攻关，降低企业转化成本。技改奖励、研发费用补助等政策促进了创新成果从实验室走向生产线，转化生态逐步优化，企业承接成果转化的积极性明显提升。产学研协同转化的机制日益健全，转化效率与成功率不断提高。</w:t>
      </w:r>
    </w:p>
    <w:p>
      <w:pPr>
        <w:spacing w:lineRule="exact" w:line="600" w:after="0"/>
        <w:ind w:firstLine="420"/>
      </w:pPr>
      <w:r>
        <w:rPr>
          <w:rFonts w:ascii="仿宋_GB2312" w:hAnsi="仿宋_GB2312" w:eastAsia="仿宋_GB2312"/>
          <w:b w:val="0"/>
          <w:sz w:val="32"/>
        </w:rPr>
        <w:t>但技术转化仍存在“头部强、中小弱”现象，部分中小企业缺乏中试能力与工程化人才，成果转化周期偏长，制约了整体转化效能的发挥。需完善集群技术转移服务体系，建设公共中试平台与概念验证中心，畅通“研发—中试—产业化”链条，提升整体转化效率与辐射带动能力。让更多中小企业分享创新红利，推动创新成果在集群内广泛转化应用。</w:t>
      </w:r>
    </w:p>
    <w:p>
      <w:pPr>
        <w:spacing w:before="240" w:after="120" w:lineRule="exact" w:line="600"/>
      </w:pPr>
      <w:r>
        <w:rPr>
          <w:rFonts w:ascii="黑体" w:hAnsi="黑体" w:eastAsia="黑体"/>
          <w:b w:val="0"/>
          <w:sz w:val="32"/>
        </w:rPr>
        <w:t>五、生产要素禀赋</w:t>
      </w:r>
    </w:p>
    <w:p>
      <w:pPr>
        <w:spacing w:before="120" w:after="120" w:lineRule="exact" w:line="600"/>
      </w:pPr>
      <w:r>
        <w:rPr>
          <w:rFonts w:ascii="楷体_GB2312" w:hAnsi="楷体_GB2312" w:eastAsia="楷体_GB2312"/>
          <w:b w:val="0"/>
          <w:sz w:val="32"/>
        </w:rPr>
        <w:t>（一）劳动力</w:t>
      </w:r>
    </w:p>
    <w:p>
      <w:pPr>
        <w:spacing w:lineRule="exact" w:line="600" w:after="0"/>
        <w:ind w:firstLine="420"/>
      </w:pPr>
      <w:r>
        <w:rPr>
          <w:rFonts w:ascii="仿宋_GB2312" w:hAnsi="仿宋_GB2312" w:eastAsia="仿宋_GB2312"/>
          <w:b w:val="0"/>
          <w:sz w:val="32"/>
        </w:rPr>
        <w:t>集群劳动力供给较为充裕，华勤集团员工超1万人，带动全区橡胶化工产业形成数万人的产业工人队伍，2024年集群带动社会就业26600余人，用工保障有力。兖州职业教育基础较好，通过“招商经理”与企业培训机制培育产业人才，但高端研发、智能制造与国际化经营人才仍显不足，结构性矛盾有待破解。劳动力总量充足、成本可控，为集群发展提供了稳定的人力支撑基础。</w:t>
      </w:r>
    </w:p>
    <w:p>
      <w:pPr>
        <w:spacing w:lineRule="exact" w:line="600" w:after="0"/>
        <w:ind w:firstLine="420"/>
      </w:pPr>
      <w:r>
        <w:rPr>
          <w:rFonts w:ascii="仿宋_GB2312" w:hAnsi="仿宋_GB2312" w:eastAsia="仿宋_GB2312"/>
          <w:b w:val="0"/>
          <w:sz w:val="32"/>
        </w:rPr>
        <w:t>从人才结构看，集群拥有大量熟练产业工人与工程技术人员，但新材料配方、智能网联、跨国运营等高端人才依赖引进，人力资本结构有待进一步优化升级。华勤与倍耐力等合资合作带来国际化管理经验，区内通过青年企业家EMBA培训、领军人才培育提升治理水平，以适应高端化发展需要。需加快补齐复合型人才短板，推动人力资本结构向更高层次演进。</w:t>
      </w:r>
    </w:p>
    <w:p>
      <w:pPr>
        <w:spacing w:lineRule="exact" w:line="600" w:after="0"/>
        <w:ind w:firstLine="420"/>
      </w:pPr>
      <w:r>
        <w:rPr>
          <w:rFonts w:ascii="仿宋_GB2312" w:hAnsi="仿宋_GB2312" w:eastAsia="仿宋_GB2312"/>
          <w:b w:val="0"/>
          <w:sz w:val="32"/>
        </w:rPr>
        <w:t>总体看，集群劳动力要素总量充足、成本相对可控，但结构性矛盾突出：一线工人充裕而复合型人才紧缺，需深化产教融合，依托驻济高校与职业院校定向培养橡胶工程、智能制造人才。完善人才引育留用机制，补强创新与国际化人才短板，支撑集群高端化发展，筑牢人才这一第一资源基础。以高素质人才队伍保障集群转型升级与可持续发展，增强核心竞争力。</w:t>
      </w:r>
    </w:p>
    <w:p>
      <w:pPr>
        <w:spacing w:before="120" w:after="120" w:lineRule="exact" w:line="600"/>
      </w:pPr>
      <w:r>
        <w:rPr>
          <w:rFonts w:ascii="楷体_GB2312" w:hAnsi="楷体_GB2312" w:eastAsia="楷体_GB2312"/>
          <w:b w:val="0"/>
          <w:sz w:val="32"/>
        </w:rPr>
        <w:t>（二）资本要素</w:t>
      </w:r>
    </w:p>
    <w:p>
      <w:pPr>
        <w:spacing w:lineRule="exact" w:line="600" w:after="0"/>
        <w:ind w:firstLine="420"/>
      </w:pPr>
      <w:r>
        <w:rPr>
          <w:rFonts w:ascii="仿宋_GB2312" w:hAnsi="仿宋_GB2312" w:eastAsia="仿宋_GB2312"/>
          <w:b w:val="0"/>
          <w:sz w:val="32"/>
        </w:rPr>
        <w:t>集群资本要素供给多元，华勤集团作为千亿级目标企业，自身投资能力强，带动华勤高端橡胶新材料产业园等百亿级项目落地，重大项目投资保障有力。政府设立10亿元中欧产业基金支持企业入驻与科技创新，并通过技改奖励、研发费用补助等财政手段撬动社会资本，资本活跃度较高。多元资本供给为集群扩张与技术改造提供了坚实的资金保障。</w:t>
      </w:r>
    </w:p>
    <w:p>
      <w:pPr>
        <w:spacing w:lineRule="exact" w:line="600" w:after="0"/>
        <w:ind w:firstLine="420"/>
      </w:pPr>
      <w:r>
        <w:rPr>
          <w:rFonts w:ascii="仿宋_GB2312" w:hAnsi="仿宋_GB2312" w:eastAsia="仿宋_GB2312"/>
          <w:b w:val="0"/>
          <w:sz w:val="32"/>
        </w:rPr>
        <w:t>从融资环境看，兖州区建立企业服务专员包保制度，常态化开展政策宣贯与融资对接，头部企业可通过合资、上市等渠道获取资本，中小企业则更多依赖银行信贷与知识产权质押。2020年区财政兑现奖励资金200余万元，但中小企业直接融资渠道仍偏窄，融资成本有待降低，融资约束仍需缓解。需健全多层次融资体系，提升金融服务的覆盖面与精准度。</w:t>
      </w:r>
    </w:p>
    <w:p>
      <w:pPr>
        <w:spacing w:lineRule="exact" w:line="600" w:after="0"/>
        <w:ind w:firstLine="420"/>
      </w:pPr>
      <w:r>
        <w:rPr>
          <w:rFonts w:ascii="仿宋_GB2312" w:hAnsi="仿宋_GB2312" w:eastAsia="仿宋_GB2312"/>
          <w:b w:val="0"/>
          <w:sz w:val="32"/>
        </w:rPr>
        <w:t>总体看，集群资本要素“头部充裕、中小偏紧”，需健全多层次融资服务体系，扩大产业基金规模，推广知识产权质押与供应链金融，引导金融资源向专精特新中小企业倾斜。缓解融资瓶颈，为技改扩能与创新转化提供稳定资本保障，激发市场主体投资活力，增强集群发展的资金可持续性与韧性。以资本要素的高效配置支撑集群能级持续跃升，集群综合竞争优势与发展韧性持续增强。</w:t>
      </w:r>
    </w:p>
    <w:p>
      <w:pPr>
        <w:spacing w:before="120" w:after="120" w:lineRule="exact" w:line="600"/>
      </w:pPr>
      <w:r>
        <w:rPr>
          <w:rFonts w:ascii="楷体_GB2312" w:hAnsi="楷体_GB2312" w:eastAsia="楷体_GB2312"/>
          <w:b w:val="0"/>
          <w:sz w:val="32"/>
        </w:rPr>
        <w:t>（三）土地能耗</w:t>
      </w:r>
    </w:p>
    <w:p>
      <w:pPr>
        <w:spacing w:lineRule="exact" w:line="600" w:after="0"/>
        <w:ind w:firstLine="420"/>
      </w:pPr>
      <w:r>
        <w:rPr>
          <w:rFonts w:ascii="仿宋_GB2312" w:hAnsi="仿宋_GB2312" w:eastAsia="仿宋_GB2312"/>
          <w:b w:val="0"/>
          <w:sz w:val="32"/>
        </w:rPr>
        <w:t>集群土地要素以中欧国际产业园区（6.26平方公里）及华勤工业园为核心载体，园区规划科学、配套先行，土地集约利用水平较高，空间承载能力强。兖州区通过“拿地即开工”等机制提高供地效率，但随千亿级目标推进，后续重大项目用地需求增加，土地资源约束逐步显现，需通过集约节约用地保障项目落地。土地要素总体可支撑当前发展，但需未雨绸缪优化空间布局。</w:t>
      </w:r>
    </w:p>
    <w:p>
      <w:pPr>
        <w:spacing w:lineRule="exact" w:line="600" w:after="0"/>
        <w:ind w:firstLine="420"/>
      </w:pPr>
      <w:r>
        <w:rPr>
          <w:rFonts w:ascii="仿宋_GB2312" w:hAnsi="仿宋_GB2312" w:eastAsia="仿宋_GB2312"/>
          <w:b w:val="0"/>
          <w:sz w:val="32"/>
        </w:rPr>
        <w:t>从能耗与绿色化看，集群积极布局低碳橡胶技术，开发可持续材料，华勤推出超55%天然及可循环材料轮胎，降低产品碳足迹，绿色转型方向明确。园区推进绿色制造与节能改造，但橡胶化工属高耗能行业，在“双碳”目标下能耗双控与环保约束趋紧，绿色转型压力客观存在，亟需加快绿色低碳工艺改造。能耗约束将成为影响扩能的关键变量，须系统应对。</w:t>
      </w:r>
    </w:p>
    <w:p>
      <w:pPr>
        <w:spacing w:lineRule="exact" w:line="600" w:after="0"/>
        <w:ind w:firstLine="420"/>
      </w:pPr>
      <w:r>
        <w:rPr>
          <w:rFonts w:ascii="仿宋_GB2312" w:hAnsi="仿宋_GB2312" w:eastAsia="仿宋_GB2312"/>
          <w:b w:val="0"/>
          <w:sz w:val="32"/>
        </w:rPr>
        <w:t>总体看，集群土地与能耗要素需统筹平衡，宜通过园区低效用地再开发、标准厂房建设提升集约度，推广余热回收、清洁能源替代与循环经济模式，建设零碳工厂与绿色园区。以绿色化再造要素优势，保障重大项目落地与可持续发展，实现经济效益与生态效益相统一，走出一条绿色低碳的高质量发展路径。以要素集约节约支撑集群长远发展，增强可持续竞争力。</w:t>
      </w:r>
    </w:p>
    <w:p>
      <w:pPr>
        <w:spacing w:before="120" w:after="120" w:lineRule="exact" w:line="600"/>
      </w:pPr>
      <w:r>
        <w:rPr>
          <w:rFonts w:ascii="楷体_GB2312" w:hAnsi="楷体_GB2312" w:eastAsia="楷体_GB2312"/>
          <w:b w:val="0"/>
          <w:sz w:val="32"/>
        </w:rPr>
        <w:t>（四）原材料资源</w:t>
      </w:r>
    </w:p>
    <w:p>
      <w:pPr>
        <w:spacing w:lineRule="exact" w:line="600" w:after="0"/>
        <w:ind w:firstLine="420"/>
      </w:pPr>
      <w:r>
        <w:rPr>
          <w:rFonts w:ascii="仿宋_GB2312" w:hAnsi="仿宋_GB2312" w:eastAsia="仿宋_GB2312"/>
          <w:b w:val="0"/>
          <w:sz w:val="32"/>
        </w:rPr>
        <w:t>集群原材料资源以合成橡胶、钢帘线、炭黑、帘子布及各类助剂为主，华勤兴达年产10万吨高强力钢帘线、兴达年产30万吨钢帘线二期等项目保障关键原材料本地供应。天成万丰阳离子醚化剂、碧海化工溴素系列提供造纸与橡胶助剂，原材料本地配套能力逐步增强，产业链韧性有所提升，关键环节保障更加稳固。本地原料供给体系的完善降低了对外依赖与物流成本，增强了稳定性。</w:t>
      </w:r>
    </w:p>
    <w:p>
      <w:pPr>
        <w:spacing w:lineRule="exact" w:line="600" w:after="0"/>
        <w:ind w:firstLine="420"/>
      </w:pPr>
      <w:r>
        <w:rPr>
          <w:rFonts w:ascii="仿宋_GB2312" w:hAnsi="仿宋_GB2312" w:eastAsia="仿宋_GB2312"/>
          <w:b w:val="0"/>
          <w:sz w:val="32"/>
        </w:rPr>
        <w:t>从外部依赖看，部分高端合成橡胶、特种纤维与高端助剂仍需外购，天然橡胶主要依赖进口，原材料价格波动对成本影响较大，供应链安全风险客观存在。兖州通过“隔墙供应”式园区配套与煤制原料气等项目建设，降低物流与采购成本，但关键战略原料保障仍需多元化布局，以增强抗价格波动与供应链中断能力。需建立更加稳健的原料保障体系，提升安全可控水平。</w:t>
      </w:r>
    </w:p>
    <w:p>
      <w:pPr>
        <w:spacing w:lineRule="exact" w:line="600" w:after="0"/>
        <w:ind w:firstLine="420"/>
      </w:pPr>
      <w:r>
        <w:rPr>
          <w:rFonts w:ascii="仿宋_GB2312" w:hAnsi="仿宋_GB2312" w:eastAsia="仿宋_GB2312"/>
          <w:b w:val="0"/>
          <w:sz w:val="32"/>
        </w:rPr>
        <w:t>总体看，集群原材料要素“基础料本地、高端料外购”特征明显，宜强化与上游炼化、石化基地协同，建立战略储备与长协机制，发展可循环橡胶与生物基材料。提升原材料自主保障与抗价格波动能力，筑牢产业链安全底座，为集群稳健运行提供坚实的资源支撑，增强发展的自主性与韧性。以资源保障之稳支撑产业发展之进，守住产业链安全底线。</w:t>
      </w:r>
    </w:p>
    <w:p>
      <w:pPr>
        <w:spacing w:before="240" w:after="120" w:lineRule="exact" w:line="600"/>
      </w:pPr>
      <w:r>
        <w:rPr>
          <w:rFonts w:ascii="黑体" w:hAnsi="黑体" w:eastAsia="黑体"/>
          <w:b w:val="0"/>
          <w:sz w:val="32"/>
        </w:rPr>
        <w:t>六、市场与外向度</w:t>
      </w:r>
    </w:p>
    <w:p>
      <w:pPr>
        <w:spacing w:before="120" w:after="120" w:lineRule="exact" w:line="600"/>
      </w:pPr>
      <w:r>
        <w:rPr>
          <w:rFonts w:ascii="楷体_GB2312" w:hAnsi="楷体_GB2312" w:eastAsia="楷体_GB2312"/>
          <w:b w:val="0"/>
          <w:sz w:val="32"/>
        </w:rPr>
        <w:t>（一）国内市场</w:t>
      </w:r>
    </w:p>
    <w:p>
      <w:pPr>
        <w:spacing w:lineRule="exact" w:line="600" w:after="0"/>
        <w:ind w:firstLine="420"/>
      </w:pPr>
      <w:r>
        <w:rPr>
          <w:rFonts w:ascii="仿宋_GB2312" w:hAnsi="仿宋_GB2312" w:eastAsia="仿宋_GB2312"/>
          <w:b w:val="0"/>
          <w:sz w:val="32"/>
        </w:rPr>
        <w:t>集群产品在国内市场占据重要份额，华勤卡客车轮胎作为民族自主品牌兼具绿色环保与可翻新特性，乘用车轮胎主打高价值高性能，配套国内商用车与高端电动汽车市场。工程橡胶产品深度嵌入煤矿、冶金、码头等国民经济重点行业，国内销售网络较为健全，内需基本盘稳固扎实，市场根基深厚。国内大循环为集群提供了广阔的需求空间与增长韧性。</w:t>
      </w:r>
    </w:p>
    <w:p>
      <w:pPr>
        <w:spacing w:lineRule="exact" w:line="600" w:after="0"/>
        <w:ind w:firstLine="420"/>
      </w:pPr>
      <w:r>
        <w:rPr>
          <w:rFonts w:ascii="仿宋_GB2312" w:hAnsi="仿宋_GB2312" w:eastAsia="仿宋_GB2312"/>
          <w:b w:val="0"/>
          <w:sz w:val="32"/>
        </w:rPr>
        <w:t>从市场结构看，集群以内需为基本盘，轮胎、输送带、钢帘线等产品广泛应用于汽车、矿山、电力、港口等领域，下游覆盖面广、需求稳定。兖州将橡胶化工瞄准千亿级目标，依托国内大循环扩大产能消纳，2025年1—8月橡胶制品业营收109.4亿元、增长8.9%，内需市场支撑有力。内需扩张与集群成长形成良性互促，规模效应持续释放。</w:t>
      </w:r>
    </w:p>
    <w:p>
      <w:pPr>
        <w:spacing w:lineRule="exact" w:line="600" w:after="0"/>
        <w:ind w:firstLine="420"/>
      </w:pPr>
      <w:r>
        <w:rPr>
          <w:rFonts w:ascii="仿宋_GB2312" w:hAnsi="仿宋_GB2312" w:eastAsia="仿宋_GB2312"/>
          <w:b w:val="0"/>
          <w:sz w:val="32"/>
        </w:rPr>
        <w:t>总体看，集群国内市场根基扎实，但高端乘用车胎面临米其林、普利司通等国际品牌竞争，中低端产品存在同质化，差异化竞争压力犹存。需深耕主机厂配套与后市场，拓展新能源车企、工程机械等增量客户，提升国内市场份额与品牌溢价，筑牢基本面。以国内大循环支撑集群行稳致远，把内需优势转化为发展胜势，集群综合竞争优势与发展韧性持续增强。</w:t>
      </w:r>
    </w:p>
    <w:p>
      <w:pPr>
        <w:spacing w:before="120" w:after="120" w:lineRule="exact" w:line="600"/>
      </w:pPr>
      <w:r>
        <w:rPr>
          <w:rFonts w:ascii="楷体_GB2312" w:hAnsi="楷体_GB2312" w:eastAsia="楷体_GB2312"/>
          <w:b w:val="0"/>
          <w:sz w:val="32"/>
        </w:rPr>
        <w:t>（二）外贸出口</w:t>
      </w:r>
    </w:p>
    <w:p>
      <w:pPr>
        <w:spacing w:lineRule="exact" w:line="600" w:after="0"/>
        <w:ind w:firstLine="420"/>
      </w:pPr>
      <w:r>
        <w:rPr>
          <w:rFonts w:ascii="仿宋_GB2312" w:hAnsi="仿宋_GB2312" w:eastAsia="仿宋_GB2312"/>
          <w:b w:val="0"/>
          <w:sz w:val="32"/>
        </w:rPr>
        <w:t>集群外向度较高，华勤集团产品出口90余个国家和地区，与倍耐力、固特异、大陆等跨国合作网络深度绑定，轮胎及工程橡胶远销海外，国际化基础雄厚。兖州是鲁西南对外开放高地，在兖州投资的28家世界500强中，欧盟9国14家企业涉及橡胶轮胎等领域，对外开放能级持续提升。高水平对外开放为集群融入全球产业链供应链创造了有利条件。</w:t>
      </w:r>
    </w:p>
    <w:p>
      <w:pPr>
        <w:spacing w:lineRule="exact" w:line="600" w:after="0"/>
        <w:ind w:firstLine="420"/>
      </w:pPr>
      <w:r>
        <w:rPr>
          <w:rFonts w:ascii="仿宋_GB2312" w:hAnsi="仿宋_GB2312" w:eastAsia="仿宋_GB2312"/>
          <w:b w:val="0"/>
          <w:sz w:val="32"/>
        </w:rPr>
        <w:t>从出口结构看，集群以轮胎、工程橡胶及钢丝帘线为主，依托跨国合资渠道与自主品牌并行出海，华勤乘用车轮胎专供豪华车及高端电动汽车，进入欧美高端市场。部分配套企业随链主出海，出口产品技术含量与附加值逐步提升，但出口受国际贸易摩擦、海运费与汇率波动影响，不确定性较大。需多元化市场布局，增强出口韧性与稳定性，降低外部冲击。</w:t>
      </w:r>
    </w:p>
    <w:p>
      <w:pPr>
        <w:spacing w:lineRule="exact" w:line="600" w:after="0"/>
        <w:ind w:firstLine="420"/>
      </w:pPr>
      <w:r>
        <w:rPr>
          <w:rFonts w:ascii="仿宋_GB2312" w:hAnsi="仿宋_GB2312" w:eastAsia="仿宋_GB2312"/>
          <w:b w:val="0"/>
          <w:sz w:val="32"/>
        </w:rPr>
        <w:t>总体看，集群外贸以链主企业引领、配套跟随为特征，国际化水平在县级集群中领先，需加强自主品牌出海与海外服务网络建设，规避单一市场风险。利用RCEP等自贸协定拓展东盟、中东市场，提升出口韧性与附加值，推动高水平对外开放迈上新台阶，以开放促改革促发展。以更高质量的走出去提升集群全球资源配置能力，集群综合竞争优势与发展韧性持续增强。</w:t>
      </w:r>
    </w:p>
    <w:p>
      <w:pPr>
        <w:spacing w:before="120" w:after="120" w:lineRule="exact" w:line="600"/>
      </w:pPr>
      <w:r>
        <w:rPr>
          <w:rFonts w:ascii="楷体_GB2312" w:hAnsi="楷体_GB2312" w:eastAsia="楷体_GB2312"/>
          <w:b w:val="0"/>
          <w:sz w:val="32"/>
        </w:rPr>
        <w:t>（三）品牌建设</w:t>
      </w:r>
    </w:p>
    <w:p>
      <w:pPr>
        <w:spacing w:lineRule="exact" w:line="600" w:after="0"/>
        <w:ind w:firstLine="420"/>
      </w:pPr>
      <w:r>
        <w:rPr>
          <w:rFonts w:ascii="仿宋_GB2312" w:hAnsi="仿宋_GB2312" w:eastAsia="仿宋_GB2312"/>
          <w:b w:val="0"/>
          <w:sz w:val="32"/>
        </w:rPr>
        <w:t>集群品牌建设以华勤及合资品牌为核心，华勤卡客车轮胎为民族自主品牌，乘用车胎与倍耐力联合打造高端形象，品牌协同效应明显。“好品山东”品牌达7个，山东万世机械、经典重工等入选，但橡胶制品领域“好品山东”品牌有待扩容，集群整体品牌矩阵仍需丰富，自主品牌影响力与溢价能力有待提升。品牌建设仍处于“借船出海”向“自主扬帆”过渡阶段，需加快自主品牌建设。</w:t>
      </w:r>
    </w:p>
    <w:p>
      <w:pPr>
        <w:spacing w:lineRule="exact" w:line="600" w:after="0"/>
        <w:ind w:firstLine="420"/>
      </w:pPr>
      <w:r>
        <w:rPr>
          <w:rFonts w:ascii="仿宋_GB2312" w:hAnsi="仿宋_GB2312" w:eastAsia="仿宋_GB2312"/>
          <w:b w:val="0"/>
          <w:sz w:val="32"/>
        </w:rPr>
        <w:t>从品牌层级看，倍耐力、大陆等国际品牌提升集群高端形象，华勤自主品牌在中高端市场逐步站稳，政府实施“质量强区、品质兖州”品牌战略成效显现。形成国家、省、市三级品牌梯队，累计创建山东省高端品牌企业19家，为橡胶制品品牌升级奠定基础，质量强区建设稳步推进。品牌基础不断夯实，但高端自主品牌声量仍需放大，集群综合竞争优势与发展韧性持续增强。</w:t>
      </w:r>
    </w:p>
    <w:p>
      <w:pPr>
        <w:spacing w:lineRule="exact" w:line="600" w:after="0"/>
        <w:ind w:firstLine="420"/>
      </w:pPr>
      <w:r>
        <w:rPr>
          <w:rFonts w:ascii="仿宋_GB2312" w:hAnsi="仿宋_GB2312" w:eastAsia="仿宋_GB2312"/>
          <w:b w:val="0"/>
          <w:sz w:val="32"/>
        </w:rPr>
        <w:t>总体看，集群品牌“国际借力强、自主声量弱”，需强化华勤等自主品牌全球营销，争创橡胶制品领域“好品山东”与“泰山品质”认证，打造区域公用品牌。提升集群整体品牌溢价与辨识度，实现从“代工配套”向“品牌输出”转变，以品牌之力提升价值链地位，增强国际市场话语权与定价能力。以品牌建设赋能集群向价值链高端攀升，赢得更大发展空间。</w:t>
      </w:r>
    </w:p>
    <w:p>
      <w:pPr>
        <w:spacing w:before="120" w:after="120" w:lineRule="exact" w:line="600"/>
      </w:pPr>
      <w:r>
        <w:rPr>
          <w:rFonts w:ascii="楷体_GB2312" w:hAnsi="楷体_GB2312" w:eastAsia="楷体_GB2312"/>
          <w:b w:val="0"/>
          <w:sz w:val="32"/>
        </w:rPr>
        <w:t>（四）需求端变化</w:t>
      </w:r>
    </w:p>
    <w:p>
      <w:pPr>
        <w:spacing w:lineRule="exact" w:line="600" w:after="0"/>
        <w:ind w:firstLine="420"/>
      </w:pPr>
      <w:r>
        <w:rPr>
          <w:rFonts w:ascii="仿宋_GB2312" w:hAnsi="仿宋_GB2312" w:eastAsia="仿宋_GB2312"/>
          <w:b w:val="0"/>
          <w:sz w:val="32"/>
        </w:rPr>
        <w:t>需求端正发生结构性变化，新能源汽车快速发展对轮胎提出轻量化、低滚阻、高安全新要求，华勤针对性研发智能轮胎与静音轮胎适配电动汽车，精准切中安全痛点。工程机械、矿山冶金等行业绿色智能化升级，带动高端工程橡胶与特种输送带需求增长，需求结构持续优化，新增长点加速涌现。需求升级为集群产品迭代提供了明确方向与市场拉力。</w:t>
      </w:r>
    </w:p>
    <w:p>
      <w:pPr>
        <w:spacing w:lineRule="exact" w:line="600" w:after="0"/>
        <w:ind w:firstLine="420"/>
      </w:pPr>
      <w:r>
        <w:rPr>
          <w:rFonts w:ascii="仿宋_GB2312" w:hAnsi="仿宋_GB2312" w:eastAsia="仿宋_GB2312"/>
          <w:b w:val="0"/>
          <w:sz w:val="32"/>
        </w:rPr>
        <w:t>从消费趋势看，绿色低碳与可循环成为采购偏好，华勤超55%天然及可循环材料轮胎契合欧盟标签法要求，打开高端市场，产品竞争力显著增强。后市场替换需求随汽车保有量增长扩大，但需求波动与原材料价格联动增强，企业需提升柔性制造与快速响应能力，以更好适配下游多样化、个性化需求。需求端变化倒逼供给端加快转型与能力提升，集群综合竞争优势与发展韧性持续增强。</w:t>
      </w:r>
    </w:p>
    <w:p>
      <w:pPr>
        <w:spacing w:lineRule="exact" w:line="600" w:after="0"/>
        <w:ind w:firstLine="420"/>
      </w:pPr>
      <w:r>
        <w:rPr>
          <w:rFonts w:ascii="仿宋_GB2312" w:hAnsi="仿宋_GB2312" w:eastAsia="仿宋_GB2312"/>
          <w:b w:val="0"/>
          <w:sz w:val="32"/>
        </w:rPr>
        <w:t>总体看，需求端向高端化、绿色化、智能化演进，为集群产品升级提供方向，需建立市场预警与需求洞察机制，加快适配新能源、智能网联场景的新品研发。以需求牵引供给，推动产品结构向高附加值持续跃迁，实现供需更高水平动态平衡，把需求变化转化为发展先机与竞争优势。以需求之变引领供给之进，筑牢集群长期成长根基，集群综合竞争优势与发展韧性持续增强。</w:t>
      </w:r>
    </w:p>
    <w:p>
      <w:pPr>
        <w:spacing w:before="240" w:after="120" w:lineRule="exact" w:line="600"/>
      </w:pPr>
      <w:r>
        <w:rPr>
          <w:rFonts w:ascii="黑体" w:hAnsi="黑体" w:eastAsia="黑体"/>
          <w:b w:val="0"/>
          <w:sz w:val="32"/>
        </w:rPr>
        <w:t>七、竞争格局与风险挑战</w:t>
      </w:r>
    </w:p>
    <w:p>
      <w:pPr>
        <w:spacing w:before="120" w:after="120" w:lineRule="exact" w:line="600"/>
      </w:pPr>
      <w:r>
        <w:rPr>
          <w:rFonts w:ascii="楷体_GB2312" w:hAnsi="楷体_GB2312" w:eastAsia="楷体_GB2312"/>
          <w:b w:val="0"/>
          <w:sz w:val="32"/>
        </w:rPr>
        <w:t>（一）区域竞争</w:t>
      </w:r>
    </w:p>
    <w:p>
      <w:pPr>
        <w:spacing w:lineRule="exact" w:line="600" w:after="0"/>
        <w:ind w:firstLine="420"/>
      </w:pPr>
      <w:r>
        <w:rPr>
          <w:rFonts w:ascii="仿宋_GB2312" w:hAnsi="仿宋_GB2312" w:eastAsia="仿宋_GB2312"/>
          <w:b w:val="0"/>
          <w:sz w:val="32"/>
        </w:rPr>
        <w:t>省内橡胶制品集群竞争加剧，广饶县橡胶轮胎集群规模领先，曹县橡胶及助剂集群特色鲜明，兖州以高端乘用车胎、工程橡胶与新材料错位竞争，格局复杂。此外，烟台、东营等地化工新材料与轮胎产能持续扩张，对人才、资本与订单形成分流，区域竞争压力上升，需以特色构筑护城河，避免同质化内耗。区域竞合态势对兖州提出了更高的发展要求与战略定力。</w:t>
      </w:r>
    </w:p>
    <w:p>
      <w:pPr>
        <w:spacing w:lineRule="exact" w:line="600" w:after="0"/>
        <w:ind w:firstLine="420"/>
      </w:pPr>
      <w:r>
        <w:rPr>
          <w:rFonts w:ascii="仿宋_GB2312" w:hAnsi="仿宋_GB2312" w:eastAsia="仿宋_GB2312"/>
          <w:b w:val="0"/>
          <w:sz w:val="32"/>
        </w:rPr>
        <w:t>从全国看，山东、江苏、浙江轮胎产业集聚，玲珑、赛轮、双星等品牌与兖州形成竞争，市场争夺日趋激烈，行业集中度提升。国际巨头米其林、普利司通、固特异在高端市场占据优势，华勤虽通过合资提升竞争力，但自主品牌溢价仍弱，需在细分赛道锻造不可替代性。避免同质化内卷，走差异化、特色化竞争之路是必然选择，集群综合竞争优势与发展韧性持续增强。</w:t>
      </w:r>
    </w:p>
    <w:p>
      <w:pPr>
        <w:spacing w:lineRule="exact" w:line="600" w:after="0"/>
        <w:ind w:firstLine="420"/>
      </w:pPr>
      <w:r>
        <w:rPr>
          <w:rFonts w:ascii="仿宋_GB2312" w:hAnsi="仿宋_GB2312" w:eastAsia="仿宋_GB2312"/>
          <w:b w:val="0"/>
          <w:sz w:val="32"/>
        </w:rPr>
        <w:t>总体看，兖州高端橡胶制品集群凭借链主国际化与产品高端化形成差异化优势，但面临“省内同质、国际强势”双向挤压，竞争环境更趋复杂严峻。宜巩固高端乘用车胎与工程橡胶壁垒，强化新材料与智能轮胎先发优势，以特色突围应对区域与国际竞争，提升集群战略主动性与话语权。以错位竞争赢得发展主动，在竞争中壮大、在合作中提升，集群综合竞争优势与发展韧性持续增强。</w:t>
      </w:r>
    </w:p>
    <w:p>
      <w:pPr>
        <w:spacing w:before="120" w:after="120" w:lineRule="exact" w:line="600"/>
      </w:pPr>
      <w:r>
        <w:rPr>
          <w:rFonts w:ascii="楷体_GB2312" w:hAnsi="楷体_GB2312" w:eastAsia="楷体_GB2312"/>
          <w:b w:val="0"/>
          <w:sz w:val="32"/>
        </w:rPr>
        <w:t>（二）内部问题</w:t>
      </w:r>
    </w:p>
    <w:p>
      <w:pPr>
        <w:spacing w:lineRule="exact" w:line="600" w:after="0"/>
        <w:ind w:firstLine="420"/>
      </w:pPr>
      <w:r>
        <w:rPr>
          <w:rFonts w:ascii="仿宋_GB2312" w:hAnsi="仿宋_GB2312" w:eastAsia="仿宋_GB2312"/>
          <w:b w:val="0"/>
          <w:sz w:val="32"/>
        </w:rPr>
        <w:t>集群内部存在“头重脚轻”结构问题，华勤一家独大，中小微配套企业规模偏小、创新能力弱，腰部企业断层明显，大中小企业融通发展生态尚不完善。部分中小企业研发投入不足、承接成果转化能力有限，制约了集群整体协同效率与抗风险能力，结构优化任务较为艰巨，亟需壮腰工程。结构失衡是制约集群能级跃升的深层次矛盾，须系统破解，集群综合竞争优势与发展韧性持续增强。</w:t>
      </w:r>
    </w:p>
    <w:p>
      <w:pPr>
        <w:spacing w:lineRule="exact" w:line="600" w:after="0"/>
        <w:ind w:firstLine="420"/>
      </w:pPr>
      <w:r>
        <w:rPr>
          <w:rFonts w:ascii="仿宋_GB2312" w:hAnsi="仿宋_GB2312" w:eastAsia="仿宋_GB2312"/>
          <w:b w:val="0"/>
          <w:sz w:val="32"/>
        </w:rPr>
        <w:t>从产业链看，高端原材料外购、低端产能同质化、后市场服务薄弱等内部短板仍存，价值链向服务端延伸不足，盈利模式偏重制造环节。数字化转型不均衡，部分中小企业“智改数转”进度滞后，绿色低碳转型所需可循环材料与低碳工艺储备不足，内部质量与效益提升面临多重制约。亟需以系统思维推动整体提质增效，补齐发展短板，集群综合竞争优势与发展韧性持续增强。</w:t>
      </w:r>
    </w:p>
    <w:p>
      <w:pPr>
        <w:spacing w:lineRule="exact" w:line="600" w:after="0"/>
        <w:ind w:firstLine="420"/>
      </w:pPr>
      <w:r>
        <w:rPr>
          <w:rFonts w:ascii="仿宋_GB2312" w:hAnsi="仿宋_GB2312" w:eastAsia="仿宋_GB2312"/>
          <w:b w:val="0"/>
          <w:sz w:val="32"/>
        </w:rPr>
        <w:t>总体看，内部问题集中在结构均衡、创新普惠与绿色转型三方面，需以梯度培育壮大腰部企业，以公共平台弥补中小企业能力缺口，以绿色制造专项行动推动整体升级。系统化破解“大而不强、全而不优”的内部矛盾，推动集群发展质量与效益同步提升，把结构优化作为长期战略任务抓紧抓实。以内部挖潜激发集群内生动力，筑牢高质量发展根基。</w:t>
      </w:r>
    </w:p>
    <w:p>
      <w:pPr>
        <w:spacing w:before="120" w:after="120" w:lineRule="exact" w:line="600"/>
      </w:pPr>
      <w:r>
        <w:rPr>
          <w:rFonts w:ascii="楷体_GB2312" w:hAnsi="楷体_GB2312" w:eastAsia="楷体_GB2312"/>
          <w:b w:val="0"/>
          <w:sz w:val="32"/>
        </w:rPr>
        <w:t>（三）外部风险</w:t>
      </w:r>
    </w:p>
    <w:p>
      <w:pPr>
        <w:spacing w:lineRule="exact" w:line="600" w:after="0"/>
        <w:ind w:firstLine="420"/>
      </w:pPr>
      <w:r>
        <w:rPr>
          <w:rFonts w:ascii="仿宋_GB2312" w:hAnsi="仿宋_GB2312" w:eastAsia="仿宋_GB2312"/>
          <w:b w:val="0"/>
          <w:sz w:val="32"/>
        </w:rPr>
        <w:t>外部风险主要来自市场与要素两端，天然橡胶等大宗原料价格受国际供需与汇率影响波动频繁，直接冲击成本与利润，盈利稳定性面临考验。国际贸易壁垒、反倾销与海运费波动对出口形成不确定性，集群外向度较高使其对外部冲击更为敏感，需建立风险预警与应对机制，提升抗冲击能力。外部环境的复杂性要求集群增强忧患意识与底线思维，集群综合竞争优势与发展韧性持续增强。</w:t>
      </w:r>
    </w:p>
    <w:p>
      <w:pPr>
        <w:spacing w:lineRule="exact" w:line="600" w:after="0"/>
        <w:ind w:firstLine="420"/>
      </w:pPr>
      <w:r>
        <w:rPr>
          <w:rFonts w:ascii="仿宋_GB2312" w:hAnsi="仿宋_GB2312" w:eastAsia="仿宋_GB2312"/>
          <w:b w:val="0"/>
          <w:sz w:val="32"/>
        </w:rPr>
        <w:t>从政策环境看，“双碳”目标下能耗双控与环保约束趋紧，橡胶化工高耗能属性使扩能面临审批与排放压力，绿色合规成本上升，企业须加快转型。宏观经济周期波动影响汽车、工程机械等下游需求，订单稳定性承压，技术迭代加速亦带来设备贬值与工艺淘汰风险，企业需持续投入以保持竞争力。多重外部约束叠加，对集群稳健运行提出更高要求。</w:t>
      </w:r>
    </w:p>
    <w:p>
      <w:pPr>
        <w:spacing w:lineRule="exact" w:line="600" w:after="0"/>
        <w:ind w:firstLine="420"/>
      </w:pPr>
      <w:r>
        <w:rPr>
          <w:rFonts w:ascii="仿宋_GB2312" w:hAnsi="仿宋_GB2312" w:eastAsia="仿宋_GB2312"/>
          <w:b w:val="0"/>
          <w:sz w:val="32"/>
        </w:rPr>
        <w:t>总体看，外部风险呈现周期性、政策性与国际性交织特征，需建立原料战略储备与价格对冲机制，拓展多元市场，加快绿色化改造以合规扩能，增强供应链韧性。方能在不确定环境中保持集群稳健发展，牢牢守住不发生系统性风险的底线，以自身的确定性对冲环境的不确定性。以底线思维与系统应对保障集群行稳致远，实现安全发展，集群综合竞争优势与发展韧性持续增强。</w:t>
      </w:r>
    </w:p>
    <w:p>
      <w:pPr>
        <w:spacing w:before="240" w:after="120" w:lineRule="exact" w:line="600"/>
      </w:pPr>
      <w:r>
        <w:rPr>
          <w:rFonts w:ascii="黑体" w:hAnsi="黑体" w:eastAsia="黑体"/>
          <w:b w:val="0"/>
          <w:sz w:val="32"/>
        </w:rPr>
        <w:t>八、政策与营商环境</w:t>
      </w:r>
    </w:p>
    <w:p>
      <w:pPr>
        <w:spacing w:before="120" w:after="120" w:lineRule="exact" w:line="600"/>
      </w:pPr>
      <w:r>
        <w:rPr>
          <w:rFonts w:ascii="楷体_GB2312" w:hAnsi="楷体_GB2312" w:eastAsia="楷体_GB2312"/>
          <w:b w:val="0"/>
          <w:sz w:val="32"/>
        </w:rPr>
        <w:t>（一）顶层政策</w:t>
      </w:r>
    </w:p>
    <w:p>
      <w:pPr>
        <w:spacing w:lineRule="exact" w:line="600" w:after="0"/>
        <w:ind w:firstLine="420"/>
      </w:pPr>
      <w:r>
        <w:rPr>
          <w:rFonts w:ascii="仿宋_GB2312" w:hAnsi="仿宋_GB2312" w:eastAsia="仿宋_GB2312"/>
          <w:b w:val="0"/>
          <w:sz w:val="32"/>
        </w:rPr>
        <w:t>集群发展契合国家与省级顶层导向，山东省特色产业集群认定强调核心竞争力、协同创新、数字化转型与绿色化发展，兖州高端橡胶制品集群据此对标建设，方向清晰。济宁市“232”优势产业集群体系中，橡胶化工为重要板块，争取集群入选获省级政策与资金支持，顶层设计与地方实践衔接紧密，政策协同性较强。顶层政策红利为集群发展提供了方向与保障，须用足用好。</w:t>
      </w:r>
    </w:p>
    <w:p>
      <w:pPr>
        <w:spacing w:lineRule="exact" w:line="600" w:after="0"/>
        <w:ind w:firstLine="420"/>
      </w:pPr>
      <w:r>
        <w:rPr>
          <w:rFonts w:ascii="仿宋_GB2312" w:hAnsi="仿宋_GB2312" w:eastAsia="仿宋_GB2312"/>
          <w:b w:val="0"/>
          <w:sz w:val="32"/>
        </w:rPr>
        <w:t>从国家战略看，新型工业化与绿色低碳转型政策为集群提供方向，山东省“十强”产业与先进制造业强省建设，将高端化工新材料、智能轮胎列为重点，战略契合度高。“助企攀登”、技改专项等政策直接惠及集群企业，顶层政策红利持续释放，为集群转型升级注入了强劲动力，发展环境持续优化。须加强政策承接与落地，把战略机遇转化为发展实效。</w:t>
      </w:r>
    </w:p>
    <w:p>
      <w:pPr>
        <w:spacing w:lineRule="exact" w:line="600" w:after="0"/>
        <w:ind w:firstLine="420"/>
      </w:pPr>
      <w:r>
        <w:rPr>
          <w:rFonts w:ascii="仿宋_GB2312" w:hAnsi="仿宋_GB2312" w:eastAsia="仿宋_GB2312"/>
          <w:b w:val="0"/>
          <w:sz w:val="32"/>
        </w:rPr>
        <w:t>总体看，顶层政策与集群定位高度契合，但需加强政策衔接与争取精度，宜对标国家级特色产业集群标准，提前布局创新、数字、绿色指标，争取更高层级试点与资金。以顶层设计引领集群向千亿级、国家级迈进，提升政策资源获取的精准度与有效性，在更高起点上谋划集群长远发展。以政策之优聚发展之势，争取更多上级赋能与支持，集群综合竞争优势与发展韧性持续增强。</w:t>
      </w:r>
    </w:p>
    <w:p>
      <w:pPr>
        <w:spacing w:before="120" w:after="120" w:lineRule="exact" w:line="600"/>
      </w:pPr>
      <w:r>
        <w:rPr>
          <w:rFonts w:ascii="楷体_GB2312" w:hAnsi="楷体_GB2312" w:eastAsia="楷体_GB2312"/>
          <w:b w:val="0"/>
          <w:sz w:val="32"/>
        </w:rPr>
        <w:t>（二）地方扶持</w:t>
      </w:r>
    </w:p>
    <w:p>
      <w:pPr>
        <w:spacing w:lineRule="exact" w:line="600" w:after="0"/>
        <w:ind w:firstLine="420"/>
      </w:pPr>
      <w:r>
        <w:rPr>
          <w:rFonts w:ascii="仿宋_GB2312" w:hAnsi="仿宋_GB2312" w:eastAsia="仿宋_GB2312"/>
          <w:b w:val="0"/>
          <w:sz w:val="32"/>
        </w:rPr>
        <w:t>兖州区将橡胶化工列为千亿级目标产业重点扶持，2025年政府工作报告明确加快建设华勤高端橡胶新材料产业园，力促兴达钢帘线满产、倍耐力扩能、德国大陆与通力改造。六分力实验室建成运营，年内新增营收50亿元、突破350亿元，扶持力度空前，政策导向十分清晰，发展路径具体明确，企业预期稳定。地方扶持的系统性、连续性为集群扩张提供了坚实保障。</w:t>
      </w:r>
    </w:p>
    <w:p>
      <w:pPr>
        <w:spacing w:lineRule="exact" w:line="600" w:after="0"/>
        <w:ind w:firstLine="420"/>
      </w:pPr>
      <w:r>
        <w:rPr>
          <w:rFonts w:ascii="仿宋_GB2312" w:hAnsi="仿宋_GB2312" w:eastAsia="仿宋_GB2312"/>
          <w:b w:val="0"/>
          <w:sz w:val="32"/>
        </w:rPr>
        <w:t>从扶持手段看，政府设立10亿元中欧产业基金，推行“管委会+公司”招商与“三去两增”管理，实施技改奖励、研发费用补助，政策工具箱较为丰富。建立企业服务专员包保制度，开展“政府开放日”与政企对话，常态化宣贯政策、纾困解难，营商环境持续优化，企业获得感不断增强，市场活力有效激发。全链条服务体系让企业能够心无旁骛谋发展、抓创新。</w:t>
      </w:r>
    </w:p>
    <w:p>
      <w:pPr>
        <w:spacing w:lineRule="exact" w:line="600" w:after="0"/>
        <w:ind w:firstLine="420"/>
      </w:pPr>
      <w:r>
        <w:rPr>
          <w:rFonts w:ascii="仿宋_GB2312" w:hAnsi="仿宋_GB2312" w:eastAsia="仿宋_GB2312"/>
          <w:b w:val="0"/>
          <w:sz w:val="32"/>
        </w:rPr>
        <w:t>总体看，地方扶持体系较为完善，但政策落地“最后一公里”与中小企业获得感仍有提升空间，宜细化专精特新培育、首台套奖励、绿电交易等专项政策，扩大政策触达面。让更多配套中小企业分享扶持红利，厚植发展沃土，激发市场主体活力，形成大中小企业共同受益的良性政策生态。以更精准的扶持提升中小企业获得感与发展信心，集群综合竞争优势与发展韧性持续增强。</w:t>
      </w:r>
    </w:p>
    <w:p>
      <w:pPr>
        <w:spacing w:before="120" w:after="120" w:lineRule="exact" w:line="600"/>
      </w:pPr>
      <w:r>
        <w:rPr>
          <w:rFonts w:ascii="楷体_GB2312" w:hAnsi="楷体_GB2312" w:eastAsia="楷体_GB2312"/>
          <w:b w:val="0"/>
          <w:sz w:val="32"/>
        </w:rPr>
        <w:t>（三）公共配套</w:t>
      </w:r>
    </w:p>
    <w:p>
      <w:pPr>
        <w:spacing w:lineRule="exact" w:line="600" w:after="0"/>
        <w:ind w:firstLine="420"/>
      </w:pPr>
      <w:r>
        <w:rPr>
          <w:rFonts w:ascii="仿宋_GB2312" w:hAnsi="仿宋_GB2312" w:eastAsia="仿宋_GB2312"/>
          <w:b w:val="0"/>
          <w:sz w:val="32"/>
        </w:rPr>
        <w:t>集群公共配套以中欧国际产业园区为载体，园区规划6.26平方公里，坚持“规划引领、生态优先、配套先行、产城融合”，建成研发、检测、物流等基础设施，承载能力较强。六分力实验室、橡胶科技中心等公共创新平台对外开放，降低了中小企业创新门槛，公共服务供给能力较强，创新资源共享水平稳步提升。高水平的公共配套是集群吸引力与根植性的重要支撑。</w:t>
      </w:r>
    </w:p>
    <w:p>
      <w:pPr>
        <w:spacing w:lineRule="exact" w:line="600" w:after="0"/>
        <w:ind w:firstLine="420"/>
      </w:pPr>
      <w:r>
        <w:rPr>
          <w:rFonts w:ascii="仿宋_GB2312" w:hAnsi="仿宋_GB2312" w:eastAsia="仿宋_GB2312"/>
          <w:b w:val="0"/>
          <w:sz w:val="32"/>
        </w:rPr>
        <w:t>从要素配套看，园区路网、管廊、蒸汽、污水等公用工程较为齐备，兖州推进煤制原料气与码头物流项目完善供应链配套，要素保障水平在县域集群中居前。政府搭建产业研究所与数字化转型促进中心，提供技术、数据与人才支撑，公共配套体系支撑集群高效运转，要素保障与产业需求匹配度较高。完善的要素配套降低了企业落地与运营成本，提升了效率。</w:t>
      </w:r>
    </w:p>
    <w:p>
      <w:pPr>
        <w:spacing w:lineRule="exact" w:line="600" w:after="0"/>
        <w:ind w:firstLine="420"/>
      </w:pPr>
      <w:r>
        <w:rPr>
          <w:rFonts w:ascii="仿宋_GB2312" w:hAnsi="仿宋_GB2312" w:eastAsia="仿宋_GB2312"/>
          <w:b w:val="0"/>
          <w:sz w:val="32"/>
        </w:rPr>
        <w:t>总体看，集群公共配套能级较高，但面向中小企业的共享中试、检测与金融服务仍显不足，宜补建集群级共性平台，推广“工赋兖州”式数字化服务，完善物流与环保基础设施。以更高水平公共配套增强集群吸引力与根植性，提升整体运行效率，让中小企业在共享服务中降本增效、加快成长。以公共配套之优厚植集群发展之基，增强综合竞争力，集群综合竞争优势与发展韧性持续增强。</w:t>
      </w:r>
    </w:p>
    <w:p>
      <w:pPr>
        <w:spacing w:before="120" w:after="120" w:lineRule="exact" w:line="600"/>
      </w:pPr>
      <w:r>
        <w:rPr>
          <w:rFonts w:ascii="楷体_GB2312" w:hAnsi="楷体_GB2312" w:eastAsia="楷体_GB2312"/>
          <w:b w:val="0"/>
          <w:sz w:val="32"/>
        </w:rPr>
        <w:t>（四）行业协会作用</w:t>
      </w:r>
    </w:p>
    <w:p>
      <w:pPr>
        <w:spacing w:lineRule="exact" w:line="600" w:after="0"/>
        <w:ind w:firstLine="420"/>
      </w:pPr>
      <w:r>
        <w:rPr>
          <w:rFonts w:ascii="仿宋_GB2312" w:hAnsi="仿宋_GB2312" w:eastAsia="仿宋_GB2312"/>
          <w:b w:val="0"/>
          <w:sz w:val="32"/>
        </w:rPr>
        <w:t>集群行业协会与产业研究机制发挥积极作用，兖州区对应橡胶等主导产业设立产业研究所，实现“一个产业一个研究所”，由龙头企业与科研院所共建，职能清晰。其承担技术攻关、标准制定与产业研究职能，弥补了传统协会服务短板，强化了产学研协同与行业自律，治理效能不断提升，协同网络日益健全。行业组织在服务产业、联结政企中发挥着日益重要的作用。</w:t>
      </w:r>
    </w:p>
    <w:p>
      <w:pPr>
        <w:spacing w:lineRule="exact" w:line="600" w:after="0"/>
        <w:ind w:firstLine="420"/>
      </w:pPr>
      <w:r>
        <w:rPr>
          <w:rFonts w:ascii="仿宋_GB2312" w:hAnsi="仿宋_GB2312" w:eastAsia="仿宋_GB2312"/>
          <w:b w:val="0"/>
          <w:sz w:val="32"/>
        </w:rPr>
        <w:t>从协同治理看，中欧产业园“管委会+公司”模式赋予企业更大经营权，行业协会在招商对接、供需匹配、人才培训中发挥作用，企业主体地位得到彰显。但相较南方先进集群，兖州橡胶制品行业组织在标准联盟、集体品牌与国际交流方面功能仍待强化，治理与服务能力需进一步提升，以适应更高发展要求。行业组织的能力建设须提速，以匹配集群发展需要。</w:t>
      </w:r>
    </w:p>
    <w:p>
      <w:pPr>
        <w:spacing w:lineRule="exact" w:line="600" w:after="0"/>
        <w:ind w:firstLine="420"/>
      </w:pPr>
      <w:r>
        <w:rPr>
          <w:rFonts w:ascii="仿宋_GB2312" w:hAnsi="仿宋_GB2312" w:eastAsia="仿宋_GB2312"/>
          <w:b w:val="0"/>
          <w:sz w:val="32"/>
        </w:rPr>
        <w:t>总体看，集群治理以“政府引导+企业主体+院所支撑”为主，行业协会桥梁作用逐步显现，宜培育壮大橡胶制品行业协会，推动组建技术创新联盟与标准联盟。提升集体议价、联合出海与公共服务能力，完善集群治理架构，构建共建共治共享的良性生态，以高效治理保障集群持续健康发展。以治理之善聚集群之力，提升协同发展水平与整体效能。</w:t>
      </w:r>
    </w:p>
    <w:p>
      <w:pPr>
        <w:spacing w:before="240" w:after="120" w:lineRule="exact" w:line="600"/>
      </w:pPr>
      <w:r>
        <w:rPr>
          <w:rFonts w:ascii="黑体" w:hAnsi="黑体" w:eastAsia="黑体"/>
          <w:b w:val="0"/>
          <w:sz w:val="32"/>
        </w:rPr>
        <w:t>九、集群发展成效与效应</w:t>
      </w:r>
    </w:p>
    <w:p>
      <w:pPr>
        <w:spacing w:before="120" w:after="120" w:lineRule="exact" w:line="600"/>
      </w:pPr>
      <w:r>
        <w:rPr>
          <w:rFonts w:ascii="楷体_GB2312" w:hAnsi="楷体_GB2312" w:eastAsia="楷体_GB2312"/>
          <w:b w:val="0"/>
          <w:sz w:val="32"/>
        </w:rPr>
        <w:t>（一）经济效应</w:t>
      </w:r>
    </w:p>
    <w:p>
      <w:pPr>
        <w:spacing w:lineRule="exact" w:line="600" w:after="0"/>
        <w:ind w:firstLine="420"/>
      </w:pPr>
      <w:r>
        <w:rPr>
          <w:rFonts w:ascii="仿宋_GB2312" w:hAnsi="仿宋_GB2312" w:eastAsia="仿宋_GB2312"/>
          <w:b w:val="0"/>
          <w:sz w:val="32"/>
        </w:rPr>
        <w:t>集群经济效应显著，2024年集群产值超191.42亿元，带动社会就业2.66万人；2025年1—8月橡胶制品业产值95.6亿元、增长6.9%，营收109.4亿元、增长8.9%，增势良好。华勤集团2024年营业额约651亿元，橡胶化工板块成为兖州制造强区核心增长极，对全区工业经济贡献突出，支撑作用日益彰显，是区域发展的关键引擎。集群已成为拉动地方经济增长的重要支柱，辐射带动效应明显。</w:t>
      </w:r>
    </w:p>
    <w:p>
      <w:pPr>
        <w:spacing w:lineRule="exact" w:line="600" w:after="0"/>
        <w:ind w:firstLine="420"/>
      </w:pPr>
      <w:r>
        <w:rPr>
          <w:rFonts w:ascii="仿宋_GB2312" w:hAnsi="仿宋_GB2312" w:eastAsia="仿宋_GB2312"/>
          <w:b w:val="0"/>
          <w:sz w:val="32"/>
        </w:rPr>
        <w:t>从质量效益看，集群优质企业集聚，国家级小巨人3家、单项冠军2家、省专精特新20家、高企32家，有效发明专利140项，单位产出与附加值稳步提升，发展质量持续改善。橡胶化工瞄准千亿级目标，年内新增营收50亿元，对兖州工业营收创千亿形成重要支撑，经济拉动效应明显，产业链牵引作用不断强化。量与质同步提升，集群经济发展的可持续性增强。</w:t>
      </w:r>
    </w:p>
    <w:p>
      <w:pPr>
        <w:spacing w:lineRule="exact" w:line="600" w:after="0"/>
        <w:ind w:firstLine="420"/>
      </w:pPr>
      <w:r>
        <w:rPr>
          <w:rFonts w:ascii="仿宋_GB2312" w:hAnsi="仿宋_GB2312" w:eastAsia="仿宋_GB2312"/>
          <w:b w:val="0"/>
          <w:sz w:val="32"/>
        </w:rPr>
        <w:t>总体看，集群已成为兖州经济的重要支柱，但距离千亿级目标仍有差距，需通过项目投产释放产能、提升效益，把规模优势转化为质量优势。集群的链式拉动使上下游关联产业同步受益，对区域GDP、税收与工业投资的贡献持续放大，经济效应稳健向好，增长动能不断积蓄。以经济效应之强支撑区域高质量发展，巩固制造强区地位，集群综合竞争优势与发展韧性持续增强。</w:t>
      </w:r>
    </w:p>
    <w:p>
      <w:pPr>
        <w:spacing w:before="120" w:after="120" w:lineRule="exact" w:line="600"/>
      </w:pPr>
      <w:r>
        <w:rPr>
          <w:rFonts w:ascii="楷体_GB2312" w:hAnsi="楷体_GB2312" w:eastAsia="楷体_GB2312"/>
          <w:b w:val="0"/>
          <w:sz w:val="32"/>
        </w:rPr>
        <w:t>（二）就业效应</w:t>
      </w:r>
    </w:p>
    <w:p>
      <w:pPr>
        <w:spacing w:lineRule="exact" w:line="600" w:after="0"/>
        <w:ind w:firstLine="420"/>
      </w:pPr>
      <w:r>
        <w:rPr>
          <w:rFonts w:ascii="仿宋_GB2312" w:hAnsi="仿宋_GB2312" w:eastAsia="仿宋_GB2312"/>
          <w:b w:val="0"/>
          <w:sz w:val="32"/>
        </w:rPr>
        <w:t>集群就业带动效应突出，2024年集群集聚企业134家，带动社会就业26600余人；华勤集团员工超1万人，是区域最大用工主体之一，就业吸纳能力强。橡胶化工产业链长、配套环节多，吸纳大量产业工人与工程技术人员，对稳定县域就业、促进居民增收作用显著，是富民强县的重要载体，社会效益广泛。就业规模的扩大有力支撑了城乡居民收入增长与民生改善。</w:t>
      </w:r>
    </w:p>
    <w:p>
      <w:pPr>
        <w:spacing w:lineRule="exact" w:line="600" w:after="0"/>
        <w:ind w:firstLine="420"/>
      </w:pPr>
      <w:r>
        <w:rPr>
          <w:rFonts w:ascii="仿宋_GB2312" w:hAnsi="仿宋_GB2312" w:eastAsia="仿宋_GB2312"/>
          <w:b w:val="0"/>
          <w:sz w:val="32"/>
        </w:rPr>
        <w:t>从就业结构看，集群提供从一线操作、设备维护到研发设计、国际贸易的多元岗位，职业教育与校企合作支撑技能供给，就业渠道较为丰富。但高端研发与国际化经营岗位占比偏低，就业质量随产品高端化逐步改善，配套中小企业吸纳灵活就业与本地劳动力作用明显，就业的包容性强。就业结构的优化仍需与产业高端化同步推进，提升岗位含金量。</w:t>
      </w:r>
    </w:p>
    <w:p>
      <w:pPr>
        <w:spacing w:lineRule="exact" w:line="600" w:after="0"/>
        <w:ind w:firstLine="420"/>
      </w:pPr>
      <w:r>
        <w:rPr>
          <w:rFonts w:ascii="仿宋_GB2312" w:hAnsi="仿宋_GB2312" w:eastAsia="仿宋_GB2312"/>
          <w:b w:val="0"/>
          <w:sz w:val="32"/>
        </w:rPr>
        <w:t>总体看，集群就业效应兼具规模与稳定双重特征，是县域富民的重要载体，需随智能化改造平衡用工与效率，加强职业技能提升，开发高技能岗位。以高质量就业支撑共同富裕，巩固集群社会根基，让产业发展成果更多更公平惠及城乡居民，增强群众的获得感与幸福感。以就业之稳托民生之安，筑牢共同富裕的产业根基，集群综合竞争优势与发展韧性持续增强。</w:t>
      </w:r>
    </w:p>
    <w:p>
      <w:pPr>
        <w:spacing w:before="120" w:after="120" w:lineRule="exact" w:line="600"/>
      </w:pPr>
      <w:r>
        <w:rPr>
          <w:rFonts w:ascii="楷体_GB2312" w:hAnsi="楷体_GB2312" w:eastAsia="楷体_GB2312"/>
          <w:b w:val="0"/>
          <w:sz w:val="32"/>
        </w:rPr>
        <w:t>（三）溢出效应</w:t>
      </w:r>
    </w:p>
    <w:p>
      <w:pPr>
        <w:spacing w:lineRule="exact" w:line="600" w:after="0"/>
        <w:ind w:firstLine="420"/>
      </w:pPr>
      <w:r>
        <w:rPr>
          <w:rFonts w:ascii="仿宋_GB2312" w:hAnsi="仿宋_GB2312" w:eastAsia="仿宋_GB2312"/>
          <w:b w:val="0"/>
          <w:sz w:val="32"/>
        </w:rPr>
        <w:t>集群溢出效应体现在技术、产业与空间三方面，华勤等头部企业的技术外溢带动配套企业工艺升级，提升了区域整体制造水平，创新扩散效应明显。橡胶化工与造纸包装、高端装备形成产业联动，千亿级目标牵引上下游投资；中欧产业园模式辐射周边镇街，促进基础设施与公共服务改善，溢出范围持续扩大。集群对区域发展的带动已从经济向经济、社会、空间多维度拓展。</w:t>
      </w:r>
    </w:p>
    <w:p>
      <w:pPr>
        <w:spacing w:lineRule="exact" w:line="600" w:after="0"/>
        <w:ind w:firstLine="420"/>
      </w:pPr>
      <w:r>
        <w:rPr>
          <w:rFonts w:ascii="仿宋_GB2312" w:hAnsi="仿宋_GB2312" w:eastAsia="仿宋_GB2312"/>
          <w:b w:val="0"/>
          <w:sz w:val="32"/>
        </w:rPr>
        <w:t>从创新溢出看，六分力实验室、橡胶科技中心等平台向中小企业开放，提升区域整体创新能力；“一个产业一个研究所”机制促进知识共享，协同创新氛围浓厚。但溢出以纵向配套为主，横向跨界融合与跨集群协同溢出仍不充分，需搭建更开放的创新与供需网络，放大知识外溢的正向效应，提升整体创新能级。创新溢出的深化有待平台开放与跨界协作的共同推进。</w:t>
      </w:r>
    </w:p>
    <w:p>
      <w:pPr>
        <w:spacing w:lineRule="exact" w:line="600" w:after="0"/>
        <w:ind w:firstLine="420"/>
      </w:pPr>
      <w:r>
        <w:rPr>
          <w:rFonts w:ascii="仿宋_GB2312" w:hAnsi="仿宋_GB2312" w:eastAsia="仿宋_GB2312"/>
          <w:b w:val="0"/>
          <w:sz w:val="32"/>
        </w:rPr>
        <w:t>总体看，集群溢出效应正向但仍有深化空间，宜强化平台开放共享，推动橡胶新材料向医疗器械、汽车电子等领域跨界应用，促进与广饶、曹县等集群协同。放大技术、产业与空间溢出，提升区域整体竞争力，实现集群与区域的互利共赢、协同发展，让溢出红利惠及更广区域与更多主体。以溢出效应之广促区域协同之进，放大集群正外部性，集群综合竞争优势与发展韧性持续增强。</w:t>
      </w:r>
    </w:p>
    <w:p>
      <w:pPr>
        <w:spacing w:before="120" w:after="120" w:lineRule="exact" w:line="600"/>
      </w:pPr>
      <w:r>
        <w:rPr>
          <w:rFonts w:ascii="楷体_GB2312" w:hAnsi="楷体_GB2312" w:eastAsia="楷体_GB2312"/>
          <w:b w:val="0"/>
          <w:sz w:val="32"/>
        </w:rPr>
        <w:t>（四）社会效应</w:t>
      </w:r>
    </w:p>
    <w:p>
      <w:pPr>
        <w:spacing w:lineRule="exact" w:line="600" w:after="0"/>
        <w:ind w:firstLine="420"/>
      </w:pPr>
      <w:r>
        <w:rPr>
          <w:rFonts w:ascii="仿宋_GB2312" w:hAnsi="仿宋_GB2312" w:eastAsia="仿宋_GB2312"/>
          <w:b w:val="0"/>
          <w:sz w:val="32"/>
        </w:rPr>
        <w:t>集群社会效应良好，作为兖州支柱产业，其发展提升了城市产业能级与知名度，中欧合作“新样板”成为对外开放名片，城市品牌形象持续擦亮。集群带动就业与税收，支撑教育、医疗等民生支出，产业发展红利转化为民生福祉，社会认同度较高，群众获得感、幸福感持续增强，政企关系和谐。产业兴旺带动城市繁荣，社会认同度与凝聚力不断提升。</w:t>
      </w:r>
    </w:p>
    <w:p>
      <w:pPr>
        <w:spacing w:lineRule="exact" w:line="600" w:after="0"/>
        <w:ind w:firstLine="420"/>
      </w:pPr>
      <w:r>
        <w:rPr>
          <w:rFonts w:ascii="仿宋_GB2312" w:hAnsi="仿宋_GB2312" w:eastAsia="仿宋_GB2312"/>
          <w:b w:val="0"/>
          <w:sz w:val="32"/>
        </w:rPr>
        <w:t>从可持续发展看，集群推进绿色低碳与质量强区建设，入选山东省质量强县，获“泰山品质”认证，提升了区域质量文化与品牌形象，发展内涵更加丰富。但橡胶化工的环境外部性仍需严控，需在扩能同时强化污染治理与碳减排，保障生态环境与居民健康，实现经济社会协调、人与自然和谐共生。绿色发展是社会效应可持续的前提，须常抓不懈，集群综合竞争优势与发展韧性持续增强。</w:t>
      </w:r>
    </w:p>
    <w:p>
      <w:pPr>
        <w:spacing w:lineRule="exact" w:line="600" w:after="0"/>
        <w:ind w:firstLine="420"/>
      </w:pPr>
      <w:r>
        <w:rPr>
          <w:rFonts w:ascii="仿宋_GB2312" w:hAnsi="仿宋_GB2312" w:eastAsia="仿宋_GB2312"/>
          <w:b w:val="0"/>
          <w:sz w:val="32"/>
        </w:rPr>
        <w:t>总体看，集群社会效应正向，但需统筹发展与安全、环保的关系，宜将ESG理念融入集群治理，完善环境信息公开与社区参与，打造负责任、可信赖的产业社区。以良好社会效应巩固集群长期发展基础，赢得社会广泛认同与支持，实现经济发展、生态保护与社会和谐的有机统一。以社会效应之优筑长期发展之基，行稳致远、惠及民生，集群综合竞争优势与发展韧性持续增强。</w:t>
      </w:r>
    </w:p>
    <w:p>
      <w:pPr>
        <w:spacing w:before="240" w:after="120" w:lineRule="exact" w:line="600"/>
      </w:pPr>
      <w:r>
        <w:rPr>
          <w:rFonts w:ascii="黑体" w:hAnsi="黑体" w:eastAsia="黑体"/>
          <w:b w:val="0"/>
          <w:sz w:val="32"/>
        </w:rPr>
        <w:t>十、发展路径与对策建议</w:t>
      </w:r>
    </w:p>
    <w:p>
      <w:pPr>
        <w:spacing w:before="120" w:after="120" w:lineRule="exact" w:line="600"/>
      </w:pPr>
      <w:r>
        <w:rPr>
          <w:rFonts w:ascii="楷体_GB2312" w:hAnsi="楷体_GB2312" w:eastAsia="楷体_GB2312"/>
          <w:b w:val="0"/>
          <w:sz w:val="32"/>
        </w:rPr>
        <w:t>（一）现存问题总结</w:t>
      </w:r>
    </w:p>
    <w:p>
      <w:pPr>
        <w:spacing w:lineRule="exact" w:line="600" w:after="0"/>
        <w:ind w:firstLine="420"/>
      </w:pPr>
      <w:r>
        <w:rPr>
          <w:rFonts w:ascii="仿宋_GB2312" w:hAnsi="仿宋_GB2312" w:eastAsia="仿宋_GB2312"/>
          <w:b w:val="0"/>
          <w:sz w:val="32"/>
        </w:rPr>
        <w:t>综合研判，集群现存问题集中在四方面：一是结构“头重脚轻”，华勤独大而腰部企业断层，大中小企业融通不足；二是产业链上游高端原料外购、后市场薄弱，价值链延伸不够。三是创新资源分布不均，中小企业研发与转化能力弱；四是绿色转型与要素约束趋紧，土地能耗压力显现，可持续发展面临新考验。上述问题相互交织，制约集群向更高能级跃升，须系统破解、协同施策。</w:t>
      </w:r>
    </w:p>
    <w:p>
      <w:pPr>
        <w:spacing w:lineRule="exact" w:line="600" w:after="0"/>
        <w:ind w:firstLine="420"/>
      </w:pPr>
      <w:r>
        <w:rPr>
          <w:rFonts w:ascii="仿宋_GB2312" w:hAnsi="仿宋_GB2312" w:eastAsia="仿宋_GB2312"/>
          <w:b w:val="0"/>
          <w:sz w:val="32"/>
        </w:rPr>
        <w:t>从外部看，省内同质竞争与国际巨头挤压并存，原料价格波动、贸易壁垒与“双碳”约束构成持续风险，外部环境更趋复杂严峻，发展不确定性上升。政策红利虽丰但中小企业获得感待提升，公共平台与行业协会功能尚需强化，问题具有系统性，需以链式思维整体施策、协同破解，避免单兵突进、顾此失彼。内外问题叠加，要求以系统观念统筹推进、标本兼治。</w:t>
      </w:r>
    </w:p>
    <w:p>
      <w:pPr>
        <w:spacing w:lineRule="exact" w:line="600" w:after="0"/>
        <w:ind w:firstLine="420"/>
      </w:pPr>
      <w:r>
        <w:rPr>
          <w:rFonts w:ascii="仿宋_GB2312" w:hAnsi="仿宋_GB2312" w:eastAsia="仿宋_GB2312"/>
          <w:b w:val="0"/>
          <w:sz w:val="32"/>
        </w:rPr>
        <w:t>总体看，集群已具千亿级雏形，但“大而不强、全而不优”特征尚存，下步应以补短板、锻长板为主线，在规模扩张同时提升质量效益，推动从省级向国家级特色产业集群升级。将问题清单转化为任务清单，逐项攻坚突破，务求取得实实在在的成效，以问题导向引领高质量发展行稳致远。以破题之策开发展新局，把短板变成潜力板、把弱项变成强项。</w:t>
      </w:r>
    </w:p>
    <w:p>
      <w:pPr>
        <w:spacing w:before="120" w:after="120" w:lineRule="exact" w:line="600"/>
      </w:pPr>
      <w:r>
        <w:rPr>
          <w:rFonts w:ascii="楷体_GB2312" w:hAnsi="楷体_GB2312" w:eastAsia="楷体_GB2312"/>
          <w:b w:val="0"/>
          <w:sz w:val="32"/>
        </w:rPr>
        <w:t>（二）补链强链延链方向</w:t>
      </w:r>
    </w:p>
    <w:p>
      <w:pPr>
        <w:spacing w:lineRule="exact" w:line="600" w:after="0"/>
        <w:ind w:firstLine="420"/>
      </w:pPr>
      <w:r>
        <w:rPr>
          <w:rFonts w:ascii="仿宋_GB2312" w:hAnsi="仿宋_GB2312" w:eastAsia="仿宋_GB2312"/>
          <w:b w:val="0"/>
          <w:sz w:val="32"/>
        </w:rPr>
        <w:t>补链方面，重点补齐高端合成橡胶、特种助剂与关键装备短板，发展溶聚丁苯橡胶、白炭黑等本地配套，降低外购依赖，把增值留在本地，增强关键环节掌控力。强链方面，做强轮胎、钢帘线、工程橡胶等优势环节，提升六分力实验室与橡胶科技中心能级，巩固高端乘用车胎与工程橡胶壁垒，增强核心竞争力。以强链固本、以补链筑基，夯实集群产业根基与安全底盘。</w:t>
      </w:r>
    </w:p>
    <w:p>
      <w:pPr>
        <w:spacing w:lineRule="exact" w:line="600" w:after="0"/>
        <w:ind w:firstLine="420"/>
      </w:pPr>
      <w:r>
        <w:rPr>
          <w:rFonts w:ascii="仿宋_GB2312" w:hAnsi="仿宋_GB2312" w:eastAsia="仿宋_GB2312"/>
          <w:b w:val="0"/>
          <w:sz w:val="32"/>
        </w:rPr>
        <w:t>延链方面，向可循环材料、低碳橡胶、轮胎翻新与后市场服务延伸，发展轮胎再制造、智能网联运维，提升价值链两端占比，拓展盈利空间与成长边界。拓展橡胶新材料在汽车电子、医疗器械等跨界应用，推动与广饶、曹县集群协作，构建山东橡胶产业协同生态，避免同质内耗，实现错位共赢发展。以延链增值、以协同聚力，拓展集群价值空间与区域合力。</w:t>
      </w:r>
    </w:p>
    <w:p>
      <w:pPr>
        <w:spacing w:lineRule="exact" w:line="600" w:after="0"/>
        <w:ind w:firstLine="420"/>
      </w:pPr>
      <w:r>
        <w:rPr>
          <w:rFonts w:ascii="仿宋_GB2312" w:hAnsi="仿宋_GB2312" w:eastAsia="仿宋_GB2312"/>
          <w:b w:val="0"/>
          <w:sz w:val="32"/>
        </w:rPr>
        <w:t>总体看，补链强链延链需围绕“橡胶+装备+研发”主线系统推进，宜编制产业链全景图与缺项清单，开展靶向招商与揭榜挂帅，推动上下游“隔墙供应”。以链群融合提升自主可控水平与整体竞争力，把产业链建在身边、把价值链留在本地，构建安全韧性、附加值高的现代化产业链体系。以链式思维统领产业升级，塑造集群长期竞争优势，集群综合竞争优势与发展韧性持续增强。</w:t>
      </w:r>
    </w:p>
    <w:p>
      <w:pPr>
        <w:spacing w:before="120" w:after="120" w:lineRule="exact" w:line="600"/>
      </w:pPr>
      <w:r>
        <w:rPr>
          <w:rFonts w:ascii="楷体_GB2312" w:hAnsi="楷体_GB2312" w:eastAsia="楷体_GB2312"/>
          <w:b w:val="0"/>
          <w:sz w:val="32"/>
        </w:rPr>
        <w:t>（三）企业培育建议</w:t>
      </w:r>
    </w:p>
    <w:p>
      <w:pPr>
        <w:spacing w:lineRule="exact" w:line="600" w:after="0"/>
        <w:ind w:firstLine="420"/>
      </w:pPr>
      <w:r>
        <w:rPr>
          <w:rFonts w:ascii="仿宋_GB2312" w:hAnsi="仿宋_GB2312" w:eastAsia="仿宋_GB2312"/>
          <w:b w:val="0"/>
          <w:sz w:val="32"/>
        </w:rPr>
        <w:t>实施优质企业梯度培育，支持华勤冲刺千亿强企并发挥“以大带小”作用；遴选一批亿元级、十亿元级“腰部”企业重点扶持，畅通“小升规、规改股、股上市”通道，壮大企业方阵。借鉴上市企业经验，推动配套企业对接资本市场，提升集群组织化与规模化水平，让更多企业借助资本力量做大做强、做精做优。以龙头引领、腰部壮大，构建梯次分明、活力迸发的企业生态。</w:t>
      </w:r>
    </w:p>
    <w:p>
      <w:pPr>
        <w:spacing w:lineRule="exact" w:line="600" w:after="0"/>
        <w:ind w:firstLine="420"/>
      </w:pPr>
      <w:r>
        <w:rPr>
          <w:rFonts w:ascii="仿宋_GB2312" w:hAnsi="仿宋_GB2312" w:eastAsia="仿宋_GB2312"/>
          <w:b w:val="0"/>
          <w:sz w:val="32"/>
        </w:rPr>
        <w:t>鼓励中小企业走“专精特新”之路，争创国家级小巨人与单项冠军，建立“申报一批、储备一批、培育一批”品牌梯队，扩大“好品山东”在橡胶制品领域覆盖。支持企业兼并重组与协作配套，提升组织化与专业化水平，增强抗风险能力，形成大中小企业融通发展格局，提升整体竞争力。以专精特新城企、以融通聚合力，激活中小企业发展潜能，集群综合竞争优势与发展韧性持续增强。</w:t>
      </w:r>
    </w:p>
    <w:p>
      <w:pPr>
        <w:spacing w:lineRule="exact" w:line="600" w:after="0"/>
        <w:ind w:firstLine="420"/>
      </w:pPr>
      <w:r>
        <w:rPr>
          <w:rFonts w:ascii="仿宋_GB2312" w:hAnsi="仿宋_GB2312" w:eastAsia="仿宋_GB2312"/>
          <w:b w:val="0"/>
          <w:sz w:val="32"/>
        </w:rPr>
        <w:t>总体看，企业培育应坚持“抓龙头、壮腰部、育幼苗”并重，宜设专项培育资金与管家服务，精准滴灌中小企业，构建大中小企业融通生态，以企业之强筑牢集群之基。推动更多企业迈入优质企业行列，让企业方阵更加均衡、更具活力，形成龙头昂首、腰部健壮、幼苗茁壮的生动局面。以企业培育之功成集群壮大之效，增强发展内生动力，集群综合竞争优势与发展韧性持续增强。</w:t>
      </w:r>
    </w:p>
    <w:p>
      <w:pPr>
        <w:spacing w:before="120" w:after="120" w:lineRule="exact" w:line="600"/>
      </w:pPr>
      <w:r>
        <w:rPr>
          <w:rFonts w:ascii="楷体_GB2312" w:hAnsi="楷体_GB2312" w:eastAsia="楷体_GB2312"/>
          <w:b w:val="0"/>
          <w:sz w:val="32"/>
        </w:rPr>
        <w:t>（四）创新提升建议</w:t>
      </w:r>
    </w:p>
    <w:p>
      <w:pPr>
        <w:spacing w:lineRule="exact" w:line="600" w:after="0"/>
        <w:ind w:firstLine="420"/>
      </w:pPr>
      <w:r>
        <w:rPr>
          <w:rFonts w:ascii="仿宋_GB2312" w:hAnsi="仿宋_GB2312" w:eastAsia="仿宋_GB2312"/>
          <w:b w:val="0"/>
          <w:sz w:val="32"/>
        </w:rPr>
        <w:t>强化企业创新主体地位，引导头部企业牵头组建创新联合体，围绕智能轮胎、低滚阻材料、可循环橡胶等开展攻关，集中力量突破关键核心技术瓶颈。落实研发费用补助与首台套奖励，激发中小企业投入，建设集群级共性技术研发与中试基地，降低创新门槛，提升原始创新与高价值专利占比，厚植创新根基。以企业为主体、以需求为导向，构建高效协同的创新体系。</w:t>
      </w:r>
    </w:p>
    <w:p>
      <w:pPr>
        <w:spacing w:lineRule="exact" w:line="600" w:after="0"/>
        <w:ind w:firstLine="420"/>
      </w:pPr>
      <w:r>
        <w:rPr>
          <w:rFonts w:ascii="仿宋_GB2312" w:hAnsi="仿宋_GB2312" w:eastAsia="仿宋_GB2312"/>
          <w:b w:val="0"/>
          <w:sz w:val="32"/>
        </w:rPr>
        <w:t>深化产学研协同，依托“一个产业一个研究所”机制，联合高校攻关智能焊接、轻量化材料，推动六分力实验室等平台开放共享，建设橡胶材料检测与概念验证中心。畅通“研发—中试—产业化”链条，提升技术转化效率，让更多创新成果从实验室走向生产线，把科教资源优势转化为产业发展优势。以协同创新破壁垒、以开放共享提效能，放大创新乘数效应。</w:t>
      </w:r>
    </w:p>
    <w:p>
      <w:pPr>
        <w:spacing w:lineRule="exact" w:line="600" w:after="0"/>
        <w:ind w:firstLine="420"/>
      </w:pPr>
      <w:r>
        <w:rPr>
          <w:rFonts w:ascii="仿宋_GB2312" w:hAnsi="仿宋_GB2312" w:eastAsia="仿宋_GB2312"/>
          <w:b w:val="0"/>
          <w:sz w:val="32"/>
        </w:rPr>
        <w:t>总体看，创新提升需“投入+平台+转化”三管齐下，宜布局橡胶工业互联网与产业大脑，以数字化赋能研发设计，强化知识产权布局与国际标准参与。将兖州打造为全球顶端橡胶轮胎研发中心，以创新引领价值链攀升，赢得未来发展主动权，抢占产业竞争制高点。以创新之变塑集群之强，迈向全球价值链中高端，集群综合竞争优势与发展韧性持续增强。</w:t>
      </w:r>
    </w:p>
    <w:p>
      <w:pPr>
        <w:spacing w:before="120" w:after="120" w:lineRule="exact" w:line="600"/>
      </w:pPr>
      <w:r>
        <w:rPr>
          <w:rFonts w:ascii="楷体_GB2312" w:hAnsi="楷体_GB2312" w:eastAsia="楷体_GB2312"/>
          <w:b w:val="0"/>
          <w:sz w:val="32"/>
        </w:rPr>
        <w:t>（五）要素保障建议</w:t>
      </w:r>
    </w:p>
    <w:p>
      <w:pPr>
        <w:spacing w:lineRule="exact" w:line="600" w:after="0"/>
        <w:ind w:firstLine="420"/>
      </w:pPr>
      <w:r>
        <w:rPr>
          <w:rFonts w:ascii="仿宋_GB2312" w:hAnsi="仿宋_GB2312" w:eastAsia="仿宋_GB2312"/>
          <w:b w:val="0"/>
          <w:sz w:val="32"/>
        </w:rPr>
        <w:t>土地要素上，推进中欧产业园低效用地再开发与标准厂房建设，保障华勤高端橡胶新材料产业园等重大项目用地，推广“拿地即开工”，提升空间集约集约利用水平。能耗上，发展余热回收、绿电替代与循环经济，建设零碳工厂与绿色园区，以绿色化拓展用能空间，合规支撑扩能，实现集约节约发展，守住生态底线。以土地集约、能耗优化，破解要素约束、拓展发展空间。</w:t>
      </w:r>
    </w:p>
    <w:p>
      <w:pPr>
        <w:spacing w:lineRule="exact" w:line="600" w:after="0"/>
        <w:ind w:firstLine="420"/>
      </w:pPr>
      <w:r>
        <w:rPr>
          <w:rFonts w:ascii="仿宋_GB2312" w:hAnsi="仿宋_GB2312" w:eastAsia="仿宋_GB2312"/>
          <w:b w:val="0"/>
          <w:sz w:val="32"/>
        </w:rPr>
        <w:t>资本要素上，扩大中欧产业基金规模，推广知识产权质押与供应链金融，引导金融向专精特新中小企业倾斜，缓解融资难融资贵，激发投资活力。人才要素上，深化产教融合，定向培养橡胶工程与智能制造人才，完善引育留用机制，补强高端研发与国际化经营人才短板，强化第一资源支撑，筑牢人力根基。以资本活水、人才支撑，赋能集群高质量发展行稳致远。</w:t>
      </w:r>
    </w:p>
    <w:p>
      <w:pPr>
        <w:spacing w:lineRule="exact" w:line="600" w:after="0"/>
        <w:ind w:firstLine="420"/>
      </w:pPr>
      <w:r>
        <w:rPr>
          <w:rFonts w:ascii="仿宋_GB2312" w:hAnsi="仿宋_GB2312" w:eastAsia="仿宋_GB2312"/>
          <w:b w:val="0"/>
          <w:sz w:val="32"/>
        </w:rPr>
        <w:t>原材料要素上，建立天然橡胶等战略储备与长协机制，发展生物基与可循环橡胶，强化与上游炼化基地协同，提升原材料自主保障与抗价格波动能力。总体看，要素保障需系统施策、精准配置，以要素之优支撑集群千亿级目标如期实现，筑牢产业发展根基，为集群行稳致远提供坚实保障与持久动力。以要素保障之实，撑集群跃升之志，守住产业链安全底线。</w:t>
      </w:r>
    </w:p>
    <w:p>
      <w:pPr>
        <w:spacing w:before="120" w:after="120" w:lineRule="exact" w:line="600"/>
      </w:pPr>
      <w:r>
        <w:rPr>
          <w:rFonts w:ascii="楷体_GB2312" w:hAnsi="楷体_GB2312" w:eastAsia="楷体_GB2312"/>
          <w:b w:val="0"/>
          <w:sz w:val="32"/>
        </w:rPr>
        <w:t>（六）政策优化建议</w:t>
      </w:r>
    </w:p>
    <w:p>
      <w:pPr>
        <w:spacing w:lineRule="exact" w:line="600" w:after="0"/>
        <w:ind w:firstLine="420"/>
      </w:pPr>
      <w:r>
        <w:rPr>
          <w:rFonts w:ascii="仿宋_GB2312" w:hAnsi="仿宋_GB2312" w:eastAsia="仿宋_GB2312"/>
          <w:b w:val="0"/>
          <w:sz w:val="32"/>
        </w:rPr>
        <w:t>强化顶层设计衔接，对标国家级特色产业集群标准提前布局创新、数字、绿色指标，争取更高层级试点与资金，提升政策资源获取的精准度与有效性。落实山东省“232”产业集群与“助企攀登”政策，将橡胶化工千亿级目标纳入考核，强化部门协同与督导调度，确保政策落地见效，提升政策执行力与穿透力。以顶层设计之优，聚集群发展之势，争取更大赋能。</w:t>
      </w:r>
    </w:p>
    <w:p>
      <w:pPr>
        <w:spacing w:lineRule="exact" w:line="600" w:after="0"/>
        <w:ind w:firstLine="420"/>
      </w:pPr>
      <w:r>
        <w:rPr>
          <w:rFonts w:ascii="仿宋_GB2312" w:hAnsi="仿宋_GB2312" w:eastAsia="仿宋_GB2312"/>
          <w:b w:val="0"/>
          <w:sz w:val="32"/>
        </w:rPr>
        <w:t>优化营商环境，深化“管委会+公司”与“三去两增”改革，扩大企业服务专员包保覆盖，常态化开展政企对话与政策宣贯，提升中小企业政策获得感。细化技改奖励、绿电交易、首台套等专项政策，发挥行业协会桥梁作用，提升治理与服务能力，激发市场活力，打造近悦远来的营商生态。以环境之优，引企业之聚、促产业之兴，厚植发展沃土，集群综合竞争优势与发展韧性持续增强。</w:t>
      </w:r>
    </w:p>
    <w:p>
      <w:pPr>
        <w:spacing w:lineRule="exact" w:line="600" w:after="0"/>
        <w:ind w:firstLine="420"/>
      </w:pPr>
      <w:r>
        <w:rPr>
          <w:rFonts w:ascii="仿宋_GB2312" w:hAnsi="仿宋_GB2312" w:eastAsia="仿宋_GB2312"/>
          <w:b w:val="0"/>
          <w:sz w:val="32"/>
        </w:rPr>
        <w:t>总体看，政策优化应坚持有效市场与有为政府结合，宜建立集群动态评估与退出机制，以评促建；争取跨区域协同政策，推动山东橡胶产业集群整体跃升。以一流政策环境保障兖州高端橡胶制品集群行稳致远、迈向国家级，谱写高质量发展新篇章，在服务和融入新发展格局中展现更大作为。以政策之善，成发展之美，护航集群迈向更高能级，集群综合竞争优势与发展韧性持续增强。</w:t>
      </w:r>
    </w:p>
    <w:p>
      <w:pPr>
        <w:spacing w:before="240" w:after="120" w:lineRule="exact" w:line="600"/>
      </w:pPr>
      <w:r>
        <w:rPr>
          <w:rFonts w:ascii="黑体" w:hAnsi="黑体" w:eastAsia="黑体"/>
          <w:b w:val="0"/>
          <w:sz w:val="32"/>
        </w:rPr>
        <w:t>参考资料</w:t>
      </w:r>
    </w:p>
    <w:p>
      <w:pPr>
        <w:spacing w:lineRule="exact" w:line="600" w:after="0"/>
        <w:ind w:firstLine="0"/>
      </w:pPr>
      <w:r>
        <w:rPr>
          <w:rFonts w:ascii="仿宋_GB2312" w:hAnsi="仿宋_GB2312" w:eastAsia="仿宋_GB2312"/>
          <w:b w:val="0"/>
          <w:sz w:val="32"/>
        </w:rPr>
        <w:t>1. 兖州区工业和信息化局：兖州高端橡胶制品特色产业集群获批省特色产业集群（2025-06-25） http://yanzhou.gov.cn/art/2025/6/25/art_27839_2789306.html</w:t>
      </w:r>
    </w:p>
    <w:p>
      <w:pPr>
        <w:spacing w:lineRule="exact" w:line="600" w:after="0"/>
        <w:ind w:firstLine="0"/>
      </w:pPr>
      <w:r>
        <w:rPr>
          <w:rFonts w:ascii="仿宋_GB2312" w:hAnsi="仿宋_GB2312" w:eastAsia="仿宋_GB2312"/>
          <w:b w:val="0"/>
          <w:sz w:val="32"/>
        </w:rPr>
        <w:t>2. 连云港报业：兖州高端橡胶制品特色产业集群获批省特色产业集群 http://lygrbepaper.lygfb.cn/Article/index?aid=8911359</w:t>
      </w:r>
    </w:p>
    <w:p>
      <w:pPr>
        <w:spacing w:lineRule="exact" w:line="600" w:after="0"/>
        <w:ind w:firstLine="0"/>
      </w:pPr>
      <w:r>
        <w:rPr>
          <w:rFonts w:ascii="仿宋_GB2312" w:hAnsi="仿宋_GB2312" w:eastAsia="仿宋_GB2312"/>
          <w:b w:val="0"/>
          <w:sz w:val="32"/>
        </w:rPr>
        <w:t>3. 兖州区工信局落实2025年政府工作报告第三季度进展（2025-10-14） http://yanzhou.gov.cn/art/2025/10/14/art_108344_2791967.html</w:t>
      </w:r>
    </w:p>
    <w:p>
      <w:pPr>
        <w:spacing w:lineRule="exact" w:line="600" w:after="0"/>
        <w:ind w:firstLine="0"/>
      </w:pPr>
      <w:r>
        <w:rPr>
          <w:rFonts w:ascii="仿宋_GB2312" w:hAnsi="仿宋_GB2312" w:eastAsia="仿宋_GB2312"/>
          <w:b w:val="0"/>
          <w:sz w:val="32"/>
        </w:rPr>
        <w:t>4. 2025年兖州区政府工作报告（2025-01-16） http://www.yanzhou.gov.cn/art/2025/1/16/art_74045_2785086.html</w:t>
      </w:r>
    </w:p>
    <w:p>
      <w:pPr>
        <w:spacing w:lineRule="exact" w:line="600" w:after="0"/>
        <w:ind w:firstLine="0"/>
      </w:pPr>
      <w:r>
        <w:rPr>
          <w:rFonts w:ascii="仿宋_GB2312" w:hAnsi="仿宋_GB2312" w:eastAsia="仿宋_GB2312"/>
          <w:b w:val="0"/>
          <w:sz w:val="32"/>
        </w:rPr>
        <w:t>5. 兖州区质量状况白皮书（2024年度）（2025-09-08） http://yanzhou.gov.cn/art/2025/9/8/art_29160_2793481.html</w:t>
      </w:r>
    </w:p>
    <w:p>
      <w:pPr>
        <w:spacing w:lineRule="exact" w:line="600" w:after="0"/>
        <w:ind w:firstLine="0"/>
      </w:pPr>
      <w:r>
        <w:rPr>
          <w:rFonts w:ascii="仿宋_GB2312" w:hAnsi="仿宋_GB2312" w:eastAsia="仿宋_GB2312"/>
          <w:b w:val="0"/>
          <w:sz w:val="32"/>
        </w:rPr>
        <w:t>6. 济宁日报：华勤集团领航兖州橡胶产业蝶变（2026-06-10） http://www.jn001.com/jiningrb/2026/06/10/99102145.html</w:t>
      </w:r>
    </w:p>
    <w:p>
      <w:pPr>
        <w:spacing w:lineRule="exact" w:line="600" w:after="0"/>
        <w:ind w:firstLine="0"/>
      </w:pPr>
      <w:r>
        <w:rPr>
          <w:rFonts w:ascii="仿宋_GB2312" w:hAnsi="仿宋_GB2312" w:eastAsia="仿宋_GB2312"/>
          <w:b w:val="0"/>
          <w:sz w:val="32"/>
        </w:rPr>
        <w:t>7. 中化新网：山东省特色产业集群认定名单公布（2025年度） https://ccin.com.cn/detail/8d608718ef0c64b4d2e36dacca2e41be</w:t>
      </w:r>
    </w:p>
    <w:p>
      <w:pPr>
        <w:spacing w:lineRule="exact" w:line="600" w:after="0"/>
        <w:ind w:firstLine="0"/>
      </w:pPr>
      <w:r>
        <w:rPr>
          <w:rFonts w:ascii="仿宋_GB2312" w:hAnsi="仿宋_GB2312" w:eastAsia="仿宋_GB2312"/>
          <w:b w:val="0"/>
          <w:sz w:val="32"/>
        </w:rPr>
        <w:t>8. 兖州：打造中欧合作“新样板”（2022-09-28） http://yanzhou.gov.cn/art/2022/9/28/art_27841_2748513.html</w:t>
      </w:r>
    </w:p>
    <w:p>
      <w:pPr>
        <w:spacing w:lineRule="exact" w:line="600" w:after="0"/>
        <w:ind w:firstLine="0"/>
      </w:pPr>
      <w:r>
        <w:rPr>
          <w:rFonts w:ascii="仿宋_GB2312" w:hAnsi="仿宋_GB2312" w:eastAsia="仿宋_GB2312"/>
          <w:b w:val="0"/>
          <w:sz w:val="32"/>
        </w:rPr>
        <w:t>注：本报告部分数据为基于公开信息的整理和合理估算，具体精确数据以政府部门和统计机构官方发布为准。</w:t>
      </w:r>
    </w:p>
    <w:sectPr w:rsidR="00FC693F" w:rsidRPr="0006063C" w:rsidSect="00034616">
      <w:footerReference w:type="default" r:id="rId9"/>
      <w:pgSz w:w="12240" w:h="15840"/>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宋体" w:hAnsi="宋体" w:eastAsia="宋体"/>
        <w:b w:val="0"/>
        <w:sz w:val="28"/>
      </w:rPr>
      <w:t xml:space="preserve">— </w:t>
    </w:r>
    <w:r>
      <w:rPr>
        <w:rFonts w:ascii="Times New Roman" w:hAnsi="Times New Roman" w:eastAsia="宋体"/>
        <w:sz w:val="28"/>
      </w:rPr>
      <w:fldChar w:fldCharType="begin"/>
      <w:instrText xml:space="preserve">PAGE</w:instrText>
      <w:fldChar w:fldCharType="end"/>
    </w:r>
    <w:r>
      <w:rPr>
        <w:rFonts w:ascii="宋体" w:hAnsi="宋体" w:eastAsia="宋体"/>
        <w:b w:val="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