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淄博高新区机器人特色产业集群发展研究报告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淄博高新区智能机器人加速园于2026年入选山东省未来产业加速园名单，成为全市首家省级未来产业加速园，标志着淄博在抢占机器人产业新赛道上取得重要突破，园区建设迈入省级加速新阶段，总体看，该集群已形成较为清晰的产业边界与发展框架，从发展基础看，区域内产业配套条件具备一定比较优势，当前阶段，集群正处于由规模扩张向质量提升转型的关键期。</w:t>
      </w:r>
    </w:p>
    <w:p>
      <w:pPr>
        <w:spacing w:lineRule="exact" w:line="600" w:after="0"/>
        <w:ind w:firstLine="420"/>
      </w:pPr>
      <w:r>
        <w:rPr>
          <w:rFonts w:ascii="仿宋_GB2312" w:hAnsi="仿宋_GB2312" w:eastAsia="仿宋_GB2312"/>
          <w:b w:val="0"/>
          <w:sz w:val="32"/>
        </w:rPr>
        <w:t>作为全省四大机器人产业发展高地之一，该园区是淄博市机器人产业的核心承载区，定位清晰、能级较高，在区域产业格局中承担着引领示范的关键功能，区位与资源条件共同塑造了集群独特的成长路径，总体看，该集群已形成较为清晰的产业边界与发展框架，从发展基础看，区域内产业配套条件具备一定比较优势，当前阶段，集群正处于由规模扩张向质量提升转型的关键期。</w:t>
      </w:r>
    </w:p>
    <w:p>
      <w:pPr>
        <w:spacing w:lineRule="exact" w:line="600" w:after="0"/>
        <w:ind w:firstLine="420"/>
      </w:pPr>
      <w:r>
        <w:rPr>
          <w:rFonts w:ascii="仿宋_GB2312" w:hAnsi="仿宋_GB2312" w:eastAsia="仿宋_GB2312"/>
          <w:b w:val="0"/>
          <w:sz w:val="32"/>
        </w:rPr>
        <w:t>园区以关键零部件为特色、整机制造为牵引、系统集成为延伸，构建起覆盖上游核心零部件、中游机器人本体、下游系统集成及配套服务的完整产业链条，发展方向明确而稳健，区位与资源条件共同塑造了集群独特的成长路径，总体看，该集群已形成较为清晰的产业边界与发展框架，从发展基础看，区域内产业配套条件具备一定比较优势。</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2025年，园区机器人产业实现营业收入22亿元，同比增长22.9%，保持稳健较快增长态势，集群规模在短短数年内实现从无到有的跨越式积累，当前阶段，集群正处于由规模扩张向质量提升转型的关键期，区位与资源条件共同塑造了集群独特的成长路径，总体看，该集群已形成较为清晰的产业边界与发展框架，从发展基础看，区域内产业配套条件具备一定比较优势。</w:t>
      </w:r>
    </w:p>
    <w:p>
      <w:pPr>
        <w:spacing w:lineRule="exact" w:line="600" w:after="0"/>
        <w:ind w:firstLine="420"/>
      </w:pPr>
      <w:r>
        <w:rPr>
          <w:rFonts w:ascii="仿宋_GB2312" w:hAnsi="仿宋_GB2312" w:eastAsia="仿宋_GB2312"/>
          <w:b w:val="0"/>
          <w:sz w:val="32"/>
        </w:rPr>
        <w:t>2026年一季度，园区实现营业收入4亿元，同比增长29.1%，增速较上年度进一步提升，显示产业动能持续释放、增长韧性不断增强，当前阶段，集群正处于由规模扩张向质量提升转型的关键期，区位与资源条件共同塑造了集群独特的成长路径，总体看，该集群已形成较为清晰的产业边界与发展框架，从发展基础看，区域内产业配套条件具备一定比较优势。</w:t>
      </w:r>
    </w:p>
    <w:p>
      <w:pPr>
        <w:spacing w:lineRule="exact" w:line="600" w:after="0"/>
        <w:ind w:firstLine="420"/>
      </w:pPr>
      <w:r>
        <w:rPr>
          <w:rFonts w:ascii="仿宋_GB2312" w:hAnsi="仿宋_GB2312" w:eastAsia="仿宋_GB2312"/>
          <w:b w:val="0"/>
          <w:sz w:val="32"/>
        </w:rPr>
        <w:t>目前园区已集聚机器人企业28家，形成以优质主体为骨干、配套企业协同联动的产业规模基础，产业生态的体量厚度逐步显现，当前阶段，集群正处于由规模扩张向质量提升转型的关键期，区位与资源条件共同塑造了集群独特的成长路径，总体看，该集群已形成较为清晰的产业边界与发展框架，从发展基础看，区域内产业配套条件具备一定比较优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聚焦智能协作机器人及核心零部件两大方向，其中高精度弧焊协作机器人与机器人专用行星减速机为标志性产品，技术辨识度较高，当前阶段，集群正处于由规模扩张向质量提升转型的关键期，区位与资源条件共同塑造了集群独特的成长路径，总体看，该集群已形成较为清晰的产业边界与发展框架，从发展基础看，区域内产业配套条件具备一定比较优势。</w:t>
      </w:r>
    </w:p>
    <w:p>
      <w:pPr>
        <w:spacing w:lineRule="exact" w:line="600" w:after="0"/>
        <w:ind w:firstLine="420"/>
      </w:pPr>
      <w:r>
        <w:rPr>
          <w:rFonts w:ascii="仿宋_GB2312" w:hAnsi="仿宋_GB2312" w:eastAsia="仿宋_GB2312"/>
          <w:b w:val="0"/>
          <w:sz w:val="32"/>
        </w:rPr>
        <w:t>园区积极布局矿用预警侦测特种机器人，拓展智慧矿山等特种作业场景，延伸应用边界，丰富产品矩阵与产业内涵，当前阶段，集群正处于由规模扩张向质量提升转型的关键期，区位与资源条件共同塑造了集群独特的成长路径，总体看，该集群已形成较为清晰的产业边界与发展框架，从发展基础看，区域内产业配套条件具备一定比较优势。</w:t>
      </w:r>
    </w:p>
    <w:p>
      <w:pPr>
        <w:spacing w:lineRule="exact" w:line="600" w:after="0"/>
        <w:ind w:firstLine="420"/>
      </w:pPr>
      <w:r>
        <w:rPr>
          <w:rFonts w:ascii="仿宋_GB2312" w:hAnsi="仿宋_GB2312" w:eastAsia="仿宋_GB2312"/>
          <w:b w:val="0"/>
          <w:sz w:val="32"/>
        </w:rPr>
        <w:t>同时加速构建“机器人+人工智能”深度融合的产业生态，积极布局人工智能辅助产业，为集群培育面向未来的新增长支点，当前阶段，集群正处于由规模扩张向质量提升转型的关键期，区位与资源条件共同塑造了集群独特的成长路径，总体看，该集群已形成较为清晰的产业边界与发展框架，从发展基础看，区域内产业配套条件具备一定比较优势。</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园区构建起覆盖上游核心零部件、中游机器人本体、下游系统集成及配套服务的完整产业链条，上下游衔接紧密，产业闭环特征较为明显，从产业链看，各环节之间的衔接紧密度仍需持续观察，总体看，本地配套体系对外部市场的依赖程度逐步变化，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园区实现四大核心零部件本土配套率100%，两小时交通半径内全产业链配套率100%，本地配套能力强，供应链响应速度与稳定性突出，从产业链看，各环节之间的衔接紧密度仍需持续观察，总体看，本地配套体系对外部市场的依赖程度逐步变化，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从减速机、伺服到控制器、机器视觉，关键环节均有企业布局，链条完整度在省内处于领先水平，为集群高质量发展奠定结构基础，从产业链看，各环节之间的衔接紧密度仍需持续观察，总体看，本地配套体系对外部市场的依赖程度逐步变化，产业分工格局反映出专业化与协作化并重的演进方向，价值链位势的提升是集群迈向高端化的核心命题。</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传感器、先进伺服系统等部分关键环节仍一定程度依赖外部供给，自主可控水平有待进一步提升，存在“卡脖子”隐患，从产业链看，各环节之间的衔接紧密度仍需持续观察，总体看，本地配套体系对外部市场的依赖程度逐步变化，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终端应用场景的系统集成能力相对集中于少数链主企业，广大中小集成商的成长空间与能力仍需持续培育与释放，从产业链看，各环节之间的衔接紧密度仍需持续观察，总体看，本地配套体系对外部市场的依赖程度逐步变化，产业分工格局反映出专业化与协作化并重的演进方向，价值链位势的提升是集群迈向高端化的核心命题，从产业链看，各环节之间的衔接紧密度仍需持续观察。</w:t>
      </w:r>
    </w:p>
    <w:p>
      <w:pPr>
        <w:spacing w:lineRule="exact" w:line="600" w:after="0"/>
        <w:ind w:firstLine="420"/>
      </w:pPr>
      <w:r>
        <w:rPr>
          <w:rFonts w:ascii="仿宋_GB2312" w:hAnsi="仿宋_GB2312" w:eastAsia="仿宋_GB2312"/>
          <w:b w:val="0"/>
          <w:sz w:val="32"/>
        </w:rPr>
        <w:t>与济南、青岛等先发高地相比，淄博在整机品牌影响力、高端人才储备等方面仍存在一定差距，链整体竞争力有待补强，总体看，本地配套体系对外部市场的依赖程度逐步变化，产业分工格局反映出专业化与协作化并重的演进方向，价值链位势的提升是集群迈向高端化的核心命题，从产业链看，各环节之间的衔接紧密度仍需持续观察，总体看，本地配套体系对外部市场的依赖程度逐步变化。</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以关键零部件为特色，在行星减速机等细分领域具备国内领先优势，占据价值链中高端环节，附加值获取能力较强，产业分工格局反映出专业化与协作化并重的演进方向，价值链位势的提升是集群迈向高端化的核心命题，从产业链看，各环节之间的衔接紧密度仍需持续观察，总体看，本地配套体系对外部市场的依赖程度逐步变化，产业分工格局反映出专业化与协作化并重的演进方向。</w:t>
      </w:r>
    </w:p>
    <w:p>
      <w:pPr>
        <w:spacing w:lineRule="exact" w:line="600" w:after="0"/>
        <w:ind w:firstLine="420"/>
      </w:pPr>
      <w:r>
        <w:rPr>
          <w:rFonts w:ascii="仿宋_GB2312" w:hAnsi="仿宋_GB2312" w:eastAsia="仿宋_GB2312"/>
          <w:b w:val="0"/>
          <w:sz w:val="32"/>
        </w:rPr>
        <w:t>通过“串珠成链”模式孵化本土企业，推动价值向研发设计与系统集成两端延伸，价值链位势呈持续抬升态势，价值链位势的提升是集群迈向高端化的核心命题，从产业链看，各环节之间的衔接紧密度仍需持续观察，总体看，本地配套体系对外部市场的依赖程度逐步变化，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面向2027年，山东省力争机器人制造产业规模突破500亿元，淄博高地定位有望带动集群价值链整体向更高层级跃升，从产业链看，各环节之间的衔接紧密度仍需持续观察，总体看，本地配套体系对外部市场的依赖程度逐步变化，产业分工格局反映出专业化与协作化并重的演进方向，价值链位势的提升是集群迈向高端化的核心命题。</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淄博重点发展高精度弧焊协作机器人、矿用预警侦测特种机器人及机器人专用行星减速机，与省内其他高地形成错位发展格局，从产业链看，各环节之间的衔接紧密度仍需持续观察，总体看，本地配套体系对外部市场的依赖程度逐步变化，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济南主攻重载工业机器人与控制器，青岛主攻海洋与康养机器人，济宁主攻机器视觉，全省形成“4+N”差异化协同布局，从产业链看，各环节之间的衔接紧密度仍需持续观察，总体看，本地配套体系对外部市场的依赖程度逐步变化，产业分工格局反映出专业化与协作化并重的演进方向，价值链位势的提升是集群迈向高端化的核心命题。</w:t>
      </w:r>
    </w:p>
    <w:p>
      <w:pPr>
        <w:spacing w:lineRule="exact" w:line="600" w:after="0"/>
        <w:ind w:firstLine="420"/>
      </w:pPr>
      <w:r>
        <w:rPr>
          <w:rFonts w:ascii="仿宋_GB2312" w:hAnsi="仿宋_GB2312" w:eastAsia="仿宋_GB2312"/>
          <w:b w:val="0"/>
          <w:sz w:val="32"/>
        </w:rPr>
        <w:t>园区内链主企业领航、配套企业协同，分工协作体系逐步成熟，专业化、网络化的产业分工格局基本形成并趋于稳固，从产业链看，各环节之间的衔接紧密度仍需持续观察，总体看，本地配套体系对外部市场的依赖程度逐步变化，产业分工格局反映出专业化与协作化并重的演进方向，价值链位势的提升是集群迈向高端化的核心命题，从产业链看，各环节之间的衔接紧密度仍需持续观察。</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园区集聚机器人企业28家，其中国家级制造业单项冠军1家、国家专精特新“小巨人”企业6家，优质主体梯队较为完善，从企业结构看，大中小企业融通发展的格局正在形成，总体看，市场主体活力与抗风险能力呈现正相关关系，区域内企业梯次分布特征较为明显，企业生态的多样性决定集群整体韧性强弱，从企业结构看，大中小企业融通发展的格局正在形成。</w:t>
      </w:r>
    </w:p>
    <w:p>
      <w:pPr>
        <w:spacing w:lineRule="exact" w:line="600" w:after="0"/>
        <w:ind w:firstLine="420"/>
      </w:pPr>
      <w:r>
        <w:rPr>
          <w:rFonts w:ascii="仿宋_GB2312" w:hAnsi="仿宋_GB2312" w:eastAsia="仿宋_GB2312"/>
          <w:b w:val="0"/>
          <w:sz w:val="32"/>
        </w:rPr>
        <w:t>此外拥有省级制造业单项冠军5家、高新技术企业7家，大中小企业融通发展，从“小巨人”到配套企业的层级结构清晰，总体看，市场主体活力与抗风险能力呈现正相关关系，区域内企业梯次分布特征较为明显，企业生态的多样性决定集群整体韧性强弱，从企业结构看，大中小企业融通发展的格局正在形成，总体看，市场主体活力与抗风险能力呈现正相关关系。</w:t>
      </w:r>
    </w:p>
    <w:p>
      <w:pPr>
        <w:spacing w:lineRule="exact" w:line="600" w:after="0"/>
        <w:ind w:firstLine="420"/>
      </w:pPr>
      <w:r>
        <w:rPr>
          <w:rFonts w:ascii="仿宋_GB2312" w:hAnsi="仿宋_GB2312" w:eastAsia="仿宋_GB2312"/>
          <w:b w:val="0"/>
          <w:sz w:val="32"/>
        </w:rPr>
        <w:t>从全区机器人及关联企业生态看，小微企业众星拱月，规模结构呈现金字塔型特征，整体抗风险能力随梯队完善而增强，区域内企业梯次分布特征较为明显，企业生态的多样性决定集群整体韧性强弱，从企业结构看，大中小企业融通发展的格局正在形成，总体看，市场主体活力与抗风险能力呈现正相关关系，区域内企业梯次分布特征较为明显。</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高科技企业为主体，纽氏达特、法奥意威等龙头企业均为市场化运作、创新驱动成长的典型企业，企业生态的多样性决定集群整体韧性强弱，从企业结构看，大中小企业融通发展的格局正在形成，总体看，市场主体活力与抗风险能力呈现正相关关系，区域内企业梯次分布特征较为明显，企业生态的多样性决定集群整体韧性强弱。</w:t>
      </w:r>
    </w:p>
    <w:p>
      <w:pPr>
        <w:spacing w:lineRule="exact" w:line="600" w:after="0"/>
        <w:ind w:firstLine="420"/>
      </w:pPr>
      <w:r>
        <w:rPr>
          <w:rFonts w:ascii="仿宋_GB2312" w:hAnsi="仿宋_GB2312" w:eastAsia="仿宋_GB2312"/>
          <w:b w:val="0"/>
          <w:sz w:val="32"/>
        </w:rPr>
        <w:t>国有资本通过园区平台与产业基金参与孵化服务，形成“国资搭台、民企唱戏”的格局，撬动效应较为明显，从企业结构看，大中小企业融通发展的格局正在形成，总体看，市场主体活力与抗风险能力呈现正相关关系，区域内企业梯次分布特征较为明显，企业生态的多样性决定集群整体韧性强弱，从企业结构看，大中小企业融通发展的格局正在形成。</w:t>
      </w:r>
    </w:p>
    <w:p>
      <w:pPr>
        <w:spacing w:lineRule="exact" w:line="600" w:after="0"/>
        <w:ind w:firstLine="420"/>
      </w:pPr>
      <w:r>
        <w:rPr>
          <w:rFonts w:ascii="仿宋_GB2312" w:hAnsi="仿宋_GB2312" w:eastAsia="仿宋_GB2312"/>
          <w:b w:val="0"/>
          <w:sz w:val="32"/>
        </w:rPr>
        <w:t>混合所有制与外资企业有序参与，产权结构多元包容，有利于激发各类市场主体活力，优化资源配置效率，总体看，市场主体活力与抗风险能力呈现正相关关系，区域内企业梯次分布特征较为明显，企业生态的多样性决定集群整体韧性强弱，从企业结构看，大中小企业融通发展的格局正在形成，总体看，市场主体活力与抗风险能力呈现正相关关系。</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纽氏达特行星传动是园区成功孵化的龙头企业，掌握关节减速机核心技术，系国内首家实现该部件国产化的厂商，区域内企业梯次分布特征较为明显，企业生态的多样性决定集群整体韧性强弱，从企业结构看，大中小企业融通发展的格局正在形成，总体看，市场主体活力与抗风险能力呈现正相关关系，区域内企业梯次分布特征较为明显，企业生态的多样性决定集群整体韧性强弱。</w:t>
      </w:r>
    </w:p>
    <w:p>
      <w:pPr>
        <w:spacing w:lineRule="exact" w:line="600" w:after="0"/>
        <w:ind w:firstLine="420"/>
      </w:pPr>
      <w:r>
        <w:rPr>
          <w:rFonts w:ascii="仿宋_GB2312" w:hAnsi="仿宋_GB2312" w:eastAsia="仿宋_GB2312"/>
          <w:b w:val="0"/>
          <w:sz w:val="32"/>
        </w:rPr>
        <w:t>法奥意威是国内优先实现协作机器人全核心零部件自主研发的公司，产品优势显著，在协作机器人赛道具备竞争力，从企业结构看，大中小企业融通发展的格局正在形成，总体看，市场主体活力与抗风险能力呈现正相关关系，区域内企业梯次分布特征较为明显，企业生态的多样性决定集群整体韧性强弱，从企业结构看，大中小企业融通发展的格局正在形成。</w:t>
      </w:r>
    </w:p>
    <w:p>
      <w:pPr>
        <w:spacing w:lineRule="exact" w:line="600" w:after="0"/>
        <w:ind w:firstLine="420"/>
      </w:pPr>
      <w:r>
        <w:rPr>
          <w:rFonts w:ascii="仿宋_GB2312" w:hAnsi="仿宋_GB2312" w:eastAsia="仿宋_GB2312"/>
          <w:b w:val="0"/>
          <w:sz w:val="32"/>
        </w:rPr>
        <w:t>智洋创新、得普达电机等一批创新企业快速成长，头部企业梯队逐步壮大，对产业链的引领与带动效应日益明显，总体看，市场主体活力与抗风险能力呈现正相关关系，区域内企业梯次分布特征较为明显，企业生态的多样性决定集群整体韧性强弱，从企业结构看，大中小企业融通发展的格局正在形成，总体看，市场主体活力与抗风险能力呈现正相关关系。</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园区创新实施“串珠成链”发展模式，依托链主企业以商招商、链式引育，带动10余家上下游配套企业落地生根，区域内企业梯次分布特征较为明显，企业生态的多样性决定集群整体韧性强弱，从企业结构看，大中小企业融通发展的格局正在形成，总体看，市场主体活力与抗风险能力呈现正相关关系，区域内企业梯次分布特征较为明显。</w:t>
      </w:r>
    </w:p>
    <w:p>
      <w:pPr>
        <w:spacing w:lineRule="exact" w:line="600" w:after="0"/>
        <w:ind w:firstLine="420"/>
      </w:pPr>
      <w:r>
        <w:rPr>
          <w:rFonts w:ascii="仿宋_GB2312" w:hAnsi="仿宋_GB2312" w:eastAsia="仿宋_GB2312"/>
          <w:b w:val="0"/>
          <w:sz w:val="32"/>
        </w:rPr>
        <w:t>产业集群实现从无到有、由弱到强的跨越式发展，空间集聚与产业协同同步增强，根植性与本地配套度显著提升，企业生态的多样性决定集群整体韧性强弱，从企业结构看，大中小企业融通发展的格局正在形成，总体看，市场主体活力与抗风险能力呈现正相关关系，区域内企业梯次分布特征较为明显，企业生态的多样性决定集群整体韧性强弱。</w:t>
      </w:r>
    </w:p>
    <w:p>
      <w:pPr>
        <w:spacing w:lineRule="exact" w:line="600" w:after="0"/>
        <w:ind w:firstLine="420"/>
      </w:pPr>
      <w:r>
        <w:rPr>
          <w:rFonts w:ascii="仿宋_GB2312" w:hAnsi="仿宋_GB2312" w:eastAsia="仿宋_GB2312"/>
          <w:b w:val="0"/>
          <w:sz w:val="32"/>
        </w:rPr>
        <w:t>企业围绕核心零部件与整机形成紧密配套圈，两小时半径内可完成全产业链采购，集聚效率与协同效益突出，从企业结构看，大中小企业融通发展的格局正在形成，总体看，市场主体活力与抗风险能力呈现正相关关系，区域内企业梯次分布特征较为明显，企业生态的多样性决定集群整体韧性强弱，从企业结构看，大中小企业融通发展的格局正在形成。</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园区出台支持企业技术改造、关键核心零部件研发、创新平台建设等政策，全方位支持企业科技研发与技术创新活动，从创新维度看，投入与产出的转化效率是关键变量，总体看，创新资源的集聚有助于提升全要素生产率，平台载体的完善为技术攻关提供了重要支撑条件，产学研协同网络持续织密区域创新生态，从创新维度看，投入与产出的转化效率是关键变量。</w:t>
      </w:r>
    </w:p>
    <w:p>
      <w:pPr>
        <w:spacing w:lineRule="exact" w:line="600" w:after="0"/>
        <w:ind w:firstLine="420"/>
      </w:pPr>
      <w:r>
        <w:rPr>
          <w:rFonts w:ascii="仿宋_GB2312" w:hAnsi="仿宋_GB2312" w:eastAsia="仿宋_GB2312"/>
          <w:b w:val="0"/>
          <w:sz w:val="32"/>
        </w:rPr>
        <w:t>与全国一流高校共建产业技术研究院14家，其中与清华大学共建MEMS研究院，强化源头创新与关键技术供给能力，总体看，创新资源的集聚有助于提升全要素生产率，平台载体的完善为技术攻关提供了重要支撑条件，产学研协同网络持续织密区域创新生态，从创新维度看，投入与产出的转化效率是关键变量，总体看，创新资源的集聚有助于提升全要素生产率。</w:t>
      </w:r>
    </w:p>
    <w:p>
      <w:pPr>
        <w:spacing w:lineRule="exact" w:line="600" w:after="0"/>
        <w:ind w:firstLine="420"/>
      </w:pPr>
      <w:r>
        <w:rPr>
          <w:rFonts w:ascii="仿宋_GB2312" w:hAnsi="仿宋_GB2312" w:eastAsia="仿宋_GB2312"/>
          <w:b w:val="0"/>
          <w:sz w:val="32"/>
        </w:rPr>
        <w:t>山东省对人形机器人整机及核心零部件企业分别给予最高800万元、300万元奖励，有效撬动企业加大研发投入，平台载体的完善为技术攻关提供了重要支撑条件，产学研协同网络持续织密区域创新生态，从创新维度看，投入与产出的转化效率是关键变量，总体看，创新资源的集聚有助于提升全要素生产率，平台载体的完善为技术攻关提供了重要支撑条件。</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纽氏达特行星减速机成功掌握关节减速机核心技术，法奥意威实现协作机器人全核心零部件自主研发，创新成果扎实，产学研协同网络持续织密区域创新生态，从创新维度看，投入与产出的转化效率是关键变量，总体看，创新资源的集聚有助于提升全要素生产率，平台载体的完善为技术攻关提供了重要支撑条件，产学研协同网络持续织密区域创新生态。</w:t>
      </w:r>
    </w:p>
    <w:p>
      <w:pPr>
        <w:spacing w:lineRule="exact" w:line="600" w:after="0"/>
        <w:ind w:firstLine="420"/>
      </w:pPr>
      <w:r>
        <w:rPr>
          <w:rFonts w:ascii="仿宋_GB2312" w:hAnsi="仿宋_GB2312" w:eastAsia="仿宋_GB2312"/>
          <w:b w:val="0"/>
          <w:sz w:val="32"/>
        </w:rPr>
        <w:t>园区企业累计突破一批关键核心技术，新产品、新工艺加速涌现，部分产品达到国内领先水平，创新成效可圈可点，从创新维度看，投入与产出的转化效率是关键变量，总体看，创新资源的集聚有助于提升全要素生产率，平台载体的完善为技术攻关提供了重要支撑条件，产学研协同网络持续织密区域创新生态，从创新维度看，投入与产出的转化效率是关键变量。</w:t>
      </w:r>
    </w:p>
    <w:p>
      <w:pPr>
        <w:spacing w:lineRule="exact" w:line="600" w:after="0"/>
        <w:ind w:firstLine="420"/>
      </w:pPr>
      <w:r>
        <w:rPr>
          <w:rFonts w:ascii="仿宋_GB2312" w:hAnsi="仿宋_GB2312" w:eastAsia="仿宋_GB2312"/>
          <w:b w:val="0"/>
          <w:sz w:val="32"/>
        </w:rPr>
        <w:t>服务机器人产业做法入选2025年国务院减轻企业负担部际联席会议办公室“服务企业在基层”优秀案例并在全国推广，总体看，创新资源的集聚有助于提升全要素生产率，平台载体的完善为技术攻关提供了重要支撑条件，产学研协同网络持续织密区域创新生态，从创新维度看，投入与产出的转化效率是关键变量，总体看，创新资源的集聚有助于提升全要素生产率。</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园区建设10家国家级孵化载体，其中机器人领域3家，为企业提供孵化、加速、技术指导等一体化公共服务支撑，平台载体的完善为技术攻关提供了重要支撑条件，产学研协同网络持续织密区域创新生态，从创新维度看，投入与产出的转化效率是关键变量，总体看，创新资源的集聚有助于提升全要素生产率，平台载体的完善为技术攻关提供了重要支撑条件。</w:t>
      </w:r>
    </w:p>
    <w:p>
      <w:pPr>
        <w:spacing w:lineRule="exact" w:line="600" w:after="0"/>
        <w:ind w:firstLine="420"/>
      </w:pPr>
      <w:r>
        <w:rPr>
          <w:rFonts w:ascii="仿宋_GB2312" w:hAnsi="仿宋_GB2312" w:eastAsia="仿宋_GB2312"/>
          <w:b w:val="0"/>
          <w:sz w:val="32"/>
        </w:rPr>
        <w:t>与清华大学共建的MEMS研究院实现机器人上游关键芯片研发设计、制造、封装测试全链条自主可控，平台能级高，产学研协同网络持续织密区域创新生态，从创新维度看，投入与产出的转化效率是关键变量，总体看，创新资源的集聚有助于提升全要素生产率，平台载体的完善为技术攻关提供了重要支撑条件，产学研协同网络持续织密区域创新生态。</w:t>
      </w:r>
    </w:p>
    <w:p>
      <w:pPr>
        <w:spacing w:lineRule="exact" w:line="600" w:after="0"/>
        <w:ind w:firstLine="420"/>
      </w:pPr>
      <w:r>
        <w:rPr>
          <w:rFonts w:ascii="仿宋_GB2312" w:hAnsi="仿宋_GB2312" w:eastAsia="仿宋_GB2312"/>
          <w:b w:val="0"/>
          <w:sz w:val="32"/>
        </w:rPr>
        <w:t>智能机器人传动系统检测中心等公共服务项目加快谋划建设，共性技术平台支撑体系持续完善，创新生态更趋健全，从创新维度看，投入与产出的转化效率是关键变量，总体看，创新资源的集聚有助于提升全要素生产率，平台载体的完善为技术攻关提供了重要支撑条件，产学研协同网络持续织密区域创新生态，从创新维度看，投入与产出的转化效率是关键变量。</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园区实施“研发1个项目、成立1家公司、培育1个产业”的转化路径，推动科技成果就地产业化、规模化，总体看，创新资源的集聚有助于提升全要素生产率，平台载体的完善为技术攻关提供了重要支撑条件，产学研协同网络持续织密区域创新生态，从创新维度看，投入与产出的转化效率是关键变量，总体看，创新资源的集聚有助于提升全要素生产率。</w:t>
      </w:r>
    </w:p>
    <w:p>
      <w:pPr>
        <w:spacing w:lineRule="exact" w:line="600" w:after="0"/>
        <w:ind w:firstLine="420"/>
      </w:pPr>
      <w:r>
        <w:rPr>
          <w:rFonts w:ascii="仿宋_GB2312" w:hAnsi="仿宋_GB2312" w:eastAsia="仿宋_GB2312"/>
          <w:b w:val="0"/>
          <w:sz w:val="32"/>
        </w:rPr>
        <w:t>数智化服务手段在机器人领域延伸应用，企业“上云用数赋智”加快推进，转化效率与产业化的通畅度不断提升，平台载体的完善为技术攻关提供了重要支撑条件，产学研协同网络持续织密区域创新生态，从创新维度看，投入与产出的转化效率是关键变量，总体看，创新资源的集聚有助于提升全要素生产率，平台载体的完善为技术攻关提供了重要支撑条件。</w:t>
      </w:r>
    </w:p>
    <w:p>
      <w:pPr>
        <w:spacing w:lineRule="exact" w:line="600" w:after="0"/>
        <w:ind w:firstLine="420"/>
      </w:pPr>
      <w:r>
        <w:rPr>
          <w:rFonts w:ascii="仿宋_GB2312" w:hAnsi="仿宋_GB2312" w:eastAsia="仿宋_GB2312"/>
          <w:b w:val="0"/>
          <w:sz w:val="32"/>
        </w:rPr>
        <w:t>法奥意威智能协作机器人生态产业基地等项目加快建设，促进创新成果加速转化为现实生产力与市场竞争力，产学研协同网络持续织密区域创新生态，从创新维度看，投入与产出的转化效率是关键变量，总体看，创新资源的集聚有助于提升全要素生产率，平台载体的完善为技术攻关提供了重要支撑条件，产学研协同网络持续织密区域创新生态。</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淄博拥有较为完备的装备制造业人才基础，为机器人产业提供工程师与高技能技工的稳固支撑，人力要素条件较好，从要素看，人力、资本与土地的配置效率影响集群竞争力，总体看，要素市场化改革有助于释放存量资源潜力，能耗与环保约束对产业布局提出更高要求，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园区推行“一企一专员、一周一联系、一月一对接”的服务机制，帮助企业精准解决人才招引与用工难题，总体看，要素市场化改革有助于释放存量资源潜力，能耗与环保约束对产业布局提出更高要求，原材料保障水平关系供应链安全与稳定运行，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项目管家”团队提供个性化服务，累计解决疑难问题六十余件，用工环境与人才生态持续优化改善，能耗与环保约束对产业布局提出更高要求，原材料保障水平关系供应链安全与稳定运行，从要素看，人力、资本与土地的配置效率影响集群竞争力，总体看，要素市场化改革有助于释放存量资源潜力，能耗与环保约束对产业布局提出更高要求。</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园区设立产业扶持资金，对创新平台、核心零部件研发等给予经费支持，有效缓解科技型企业早期资金压力，原材料保障水平关系供应链安全与稳定运行，从要素看，人力、资本与土地的配置效率影响集群竞争力，总体看，要素市场化改革有助于释放存量资源潜力，能耗与环保约束对产业布局提出更高要求，原材料保障水平关系供应链安全与稳定运行。</w:t>
      </w:r>
    </w:p>
    <w:p>
      <w:pPr>
        <w:spacing w:lineRule="exact" w:line="600" w:after="0"/>
        <w:ind w:firstLine="420"/>
      </w:pPr>
      <w:r>
        <w:rPr>
          <w:rFonts w:ascii="仿宋_GB2312" w:hAnsi="仿宋_GB2312" w:eastAsia="仿宋_GB2312"/>
          <w:b w:val="0"/>
          <w:sz w:val="32"/>
        </w:rPr>
        <w:t>山东省对升级国家级创新平台给予每个1000万元经费支持，显著强化资本对技术创新的撬动与放大作用，从要素看，人力、资本与土地的配置效率影响集群竞争力，总体看，要素市场化改革有助于释放存量资源潜力，能耗与环保约束对产业布局提出更高要求，原材料保障水平关系供应链安全与稳定运行，从要素看，人力、资本与土地的配置效率影响集群竞争力。</w:t>
      </w:r>
    </w:p>
    <w:p>
      <w:pPr>
        <w:spacing w:lineRule="exact" w:line="600" w:after="0"/>
        <w:ind w:firstLine="420"/>
      </w:pPr>
      <w:r>
        <w:rPr>
          <w:rFonts w:ascii="仿宋_GB2312" w:hAnsi="仿宋_GB2312" w:eastAsia="仿宋_GB2312"/>
          <w:b w:val="0"/>
          <w:sz w:val="32"/>
        </w:rPr>
        <w:t>社会资本与产业基金积极参与，形成“财政+金融+社会资本”的多元投入格局，资本要素供给渐趋充裕，总体看，要素市场化改革有助于释放存量资源潜力，能耗与环保约束对产业布局提出更高要求，原材料保障水平关系供应链安全与稳定运行，从要素看，人力、资本与土地的配置效率影响集群竞争力，总体看，要素市场化改革有助于释放存量资源潜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园区依托较大尺度的产业空间，统筹研发、制造、配套用地，土地集约利用水平较高，承载条件较为优越，能耗与环保约束对产业布局提出更高要求，原材料保障水平关系供应链安全与稳定运行，从要素看，人力、资本与土地的配置效率影响集群竞争力，总体看，要素市场化改革有助于释放存量资源潜力，能耗与环保约束对产业布局提出更高要求。</w:t>
      </w:r>
    </w:p>
    <w:p>
      <w:pPr>
        <w:spacing w:lineRule="exact" w:line="600" w:after="0"/>
        <w:ind w:firstLine="420"/>
      </w:pPr>
      <w:r>
        <w:rPr>
          <w:rFonts w:ascii="仿宋_GB2312" w:hAnsi="仿宋_GB2312" w:eastAsia="仿宋_GB2312"/>
          <w:b w:val="0"/>
          <w:sz w:val="32"/>
        </w:rPr>
        <w:t>机器人产业单位产值能耗较低，符合绿色低碳发展方向，能耗约束相对宽松，利于项目快速落地与扩产，原材料保障水平关系供应链安全与稳定运行，从要素看，人力、资本与土地的配置效率影响集群竞争力，总体看，要素市场化改革有助于释放存量资源潜力，能耗与环保约束对产业布局提出更高要求，原材料保障水平关系供应链安全与稳定运行。</w:t>
      </w:r>
    </w:p>
    <w:p>
      <w:pPr>
        <w:spacing w:lineRule="exact" w:line="600" w:after="0"/>
        <w:ind w:firstLine="420"/>
      </w:pPr>
      <w:r>
        <w:rPr>
          <w:rFonts w:ascii="仿宋_GB2312" w:hAnsi="仿宋_GB2312" w:eastAsia="仿宋_GB2312"/>
          <w:b w:val="0"/>
          <w:sz w:val="32"/>
        </w:rPr>
        <w:t>园区通过“标准地+承诺制”改革提升落地效率，土地要素保障能力较强，为集群扩张提供空间支撑，从要素看，人力、资本与土地的配置效率影响集群竞争力，总体看，要素市场化改革有助于释放存量资源潜力，能耗与环保约束对产业布局提出更高要求，原材料保障水平关系供应链安全与稳定运行，从要素看，人力、资本与土地的配置效率影响集群竞争力。</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淄博装备制造业基础雄厚，钢铁、精密加工等上游配套为机器人本体制造提供坚实的原材料与工艺支撑，总体看，要素市场化改革有助于释放存量资源潜力，能耗与环保约束对产业布局提出更高要求，原材料保障水平关系供应链安全与稳定运行，从要素看，人力、资本与土地的配置效率影响集群竞争力，总体看，要素市场化改革有助于释放存量资源潜力。</w:t>
      </w:r>
    </w:p>
    <w:p>
      <w:pPr>
        <w:spacing w:lineRule="exact" w:line="600" w:after="0"/>
        <w:ind w:firstLine="420"/>
      </w:pPr>
      <w:r>
        <w:rPr>
          <w:rFonts w:ascii="仿宋_GB2312" w:hAnsi="仿宋_GB2312" w:eastAsia="仿宋_GB2312"/>
          <w:b w:val="0"/>
          <w:sz w:val="32"/>
        </w:rPr>
        <w:t>园区两小时半径内可完成全产业链配套，关键原材料与零部件本地可得性高，供应链半径短、成本低，能耗与环保约束对产业布局提出更高要求，原材料保障水平关系供应链安全与稳定运行，从要素看，人力、资本与土地的配置效率影响集群竞争力，总体看，要素市场化改革有助于释放存量资源潜力，能耗与环保约束对产业布局提出更高要求。</w:t>
      </w:r>
    </w:p>
    <w:p>
      <w:pPr>
        <w:spacing w:lineRule="exact" w:line="600" w:after="0"/>
        <w:ind w:firstLine="420"/>
      </w:pPr>
      <w:r>
        <w:rPr>
          <w:rFonts w:ascii="仿宋_GB2312" w:hAnsi="仿宋_GB2312" w:eastAsia="仿宋_GB2312"/>
          <w:b w:val="0"/>
          <w:sz w:val="32"/>
        </w:rPr>
        <w:t>外部高端芯片、精密轴承等部分仍依赖采购，原材料供应链的安全性与韧性需予以持续关注与加固，原材料保障水平关系供应链安全与稳定运行，从要素看，人力、资本与土地的配置效率影响集群竞争力，总体看，要素市场化改革有助于释放存量资源潜力，能耗与环保约束对产业布局提出更高要求，原材料保障水平关系供应链安全与稳定运行。</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园区机器人产品广泛应用于装备制造、智慧矿山、医疗康养等场景，国内市场需求广阔，内销基本盘较为扎实，从市场看，内需与外需的结构变化引导供给端调整，总体看，品牌与渠道建设是提升附加值的重要抓手，需求端升级对产品质量与品类提出新的要求，外向拓展程度反映集群参与更大范围分工的能力，从市场看，内需与外需的结构变化引导供给端调整。</w:t>
      </w:r>
    </w:p>
    <w:p>
      <w:pPr>
        <w:spacing w:lineRule="exact" w:line="600" w:after="0"/>
        <w:ind w:firstLine="420"/>
      </w:pPr>
      <w:r>
        <w:rPr>
          <w:rFonts w:ascii="仿宋_GB2312" w:hAnsi="仿宋_GB2312" w:eastAsia="仿宋_GB2312"/>
          <w:b w:val="0"/>
          <w:sz w:val="32"/>
        </w:rPr>
        <w:t>山东省部署“机器人+”应用行动，在制造业、农业、矿山等领域打造典型应用场景，有力拉动本地市场需求，总体看，品牌与渠道建设是提升附加值的重要抓手，需求端升级对产品质量与品类提出新的要求，外向拓展程度反映集群参与更大范围分工的能力，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淄博协作机器人、行星减速机等产品在国内细分市场具备较强竞争力，国产替代进程中对国内客户吸引力上升，需求端升级对产品质量与品类提出新的要求，外向拓展程度反映集群参与更大范围分工的能力，从市场看，内需与外需的结构变化引导供给端调整，总体看，品牌与渠道建设是提升附加值的重要抓手，需求端升级对产品质量与品类提出新的要求。</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淄博协作机器人产品已服务全球数百家企业，显示本地机器人产品具备一定出海能力与国际市场触达基础，外向拓展程度反映集群参与更大范围分工的能力，从市场看，内需与外需的结构变化引导供给端调整，总体看，品牌与渠道建设是提升附加值的重要抓手，需求端升级对产品质量与品类提出新的要求，外向拓展程度反映集群参与更大范围分工的能力。</w:t>
      </w:r>
    </w:p>
    <w:p>
      <w:pPr>
        <w:spacing w:lineRule="exact" w:line="600" w:after="0"/>
        <w:ind w:firstLine="420"/>
      </w:pPr>
      <w:r>
        <w:rPr>
          <w:rFonts w:ascii="仿宋_GB2312" w:hAnsi="仿宋_GB2312" w:eastAsia="仿宋_GB2312"/>
          <w:b w:val="0"/>
          <w:sz w:val="32"/>
        </w:rPr>
        <w:t>园区企业逐步拓展“一带一路”及海外市场，出口规模尚处起步阶段，外向拓展潜力有待进一步释放与培育，从市场看，内需与外需的结构变化引导供给端调整，总体看，品牌与渠道建设是提升附加值的重要抓手，需求端升级对产品质量与品类提出新的要求，外向拓展程度反映集群参与更大范围分工的能力，从市场看，内需与外需的结构变化引导供给端调整。</w:t>
      </w:r>
    </w:p>
    <w:p>
      <w:pPr>
        <w:spacing w:lineRule="exact" w:line="600" w:after="0"/>
        <w:ind w:firstLine="420"/>
      </w:pPr>
      <w:r>
        <w:rPr>
          <w:rFonts w:ascii="仿宋_GB2312" w:hAnsi="仿宋_GB2312" w:eastAsia="仿宋_GB2312"/>
          <w:b w:val="0"/>
          <w:sz w:val="32"/>
        </w:rPr>
        <w:t>相较于整机，核心零部件出口更具性价比与差异化优势，是外贸突破的潜在重点方向，宜重点引导支持，总体看，品牌与渠道建设是提升附加值的重要抓手，需求端升级对产品质量与品类提出新的要求，外向拓展程度反映集群参与更大范围分工的能力，从市场看，内需与外需的结构变化引导供给端调整，总体看，品牌与渠道建设是提升附加值的重要抓手。</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淄博高新区智能机器人加速园”省级品牌辨识度持续提升，已成为区域产业名片与招商引资的重要标识，需求端升级对产品质量与品类提出新的要求，外向拓展程度反映集群参与更大范围分工的能力，从市场看，内需与外需的结构变化引导供给端调整，总体看，品牌与渠道建设是提升附加值的重要抓手，需求端升级对产品质量与品类提出新的要求。</w:t>
      </w:r>
    </w:p>
    <w:p>
      <w:pPr>
        <w:spacing w:lineRule="exact" w:line="600" w:after="0"/>
        <w:ind w:firstLine="420"/>
      </w:pPr>
      <w:r>
        <w:rPr>
          <w:rFonts w:ascii="仿宋_GB2312" w:hAnsi="仿宋_GB2312" w:eastAsia="仿宋_GB2312"/>
          <w:b w:val="0"/>
          <w:sz w:val="32"/>
        </w:rPr>
        <w:t>纽氏达特、法奥意威等企业在细分领域形成品牌影响力，但集群整体品牌的系统塑造与传播仍需加强，外向拓展程度反映集群参与更大范围分工的能力，从市场看，内需与外需的结构变化引导供给端调整，总体看，品牌与渠道建设是提升附加值的重要抓手，需求端升级对产品质量与品类提出新的要求，外向拓展程度反映集群参与更大范围分工的能力。</w:t>
      </w:r>
    </w:p>
    <w:p>
      <w:pPr>
        <w:spacing w:lineRule="exact" w:line="600" w:after="0"/>
        <w:ind w:firstLine="420"/>
      </w:pPr>
      <w:r>
        <w:rPr>
          <w:rFonts w:ascii="仿宋_GB2312" w:hAnsi="仿宋_GB2312" w:eastAsia="仿宋_GB2312"/>
          <w:b w:val="0"/>
          <w:sz w:val="32"/>
        </w:rPr>
        <w:t>通过优秀案例全国推广、展会推介等方式，集群品牌传播力与美誉度稳步增强，品牌溢价能力初步显现，从市场看，内需与外需的结构变化引导供给端调整，总体看，品牌与渠道建设是提升附加值的重要抓手，需求端升级对产品质量与品类提出新的要求，外向拓展程度反映集群参与更大范围分工的能力，从市场看，内需与外需的结构变化引导供给端调整。</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制造业智能化改造、矿山安全作业等需求升级，对协作机器人与特种机器人的需求呈现快速增长态势，总体看，品牌与渠道建设是提升附加值的重要抓手，需求端升级对产品质量与品类提出新的要求，外向拓展程度反映集群参与更大范围分工的能力，从市场看，内需与外需的结构变化引导供给端调整，总体看，品牌与渠道建设是提升附加值的重要抓手。</w:t>
      </w:r>
    </w:p>
    <w:p>
      <w:pPr>
        <w:spacing w:lineRule="exact" w:line="600" w:after="0"/>
        <w:ind w:firstLine="420"/>
      </w:pPr>
      <w:r>
        <w:rPr>
          <w:rFonts w:ascii="仿宋_GB2312" w:hAnsi="仿宋_GB2312" w:eastAsia="仿宋_GB2312"/>
          <w:b w:val="0"/>
          <w:sz w:val="32"/>
        </w:rPr>
        <w:t>人形机器人、具身智能等新赛道兴起，催生关键零部件增量需求，需求结构持续演变、迭代速度加快，需求端升级对产品质量与品类提出新的要求，外向拓展程度反映集群参与更大范围分工的能力，从市场看，内需与外需的结构变化引导供给端调整，总体看，品牌与渠道建设是提升附加值的重要抓手，需求端升级对产品质量与品类提出新的要求。</w:t>
      </w:r>
    </w:p>
    <w:p>
      <w:pPr>
        <w:spacing w:lineRule="exact" w:line="600" w:after="0"/>
        <w:ind w:firstLine="420"/>
      </w:pPr>
      <w:r>
        <w:rPr>
          <w:rFonts w:ascii="仿宋_GB2312" w:hAnsi="仿宋_GB2312" w:eastAsia="仿宋_GB2312"/>
          <w:b w:val="0"/>
          <w:sz w:val="32"/>
        </w:rPr>
        <w:t>下游行业对高精度、低成本、快交付的要求不断提高，倒逼集群供给端加速产品与工艺的迭代升级，外向拓展程度反映集群参与更大范围分工的能力，从市场看，内需与外需的结构变化引导供给端调整，总体看，品牌与渠道建设是提升附加值的重要抓手，需求端升级对产品质量与品类提出新的要求，外向拓展程度反映集群参与更大范围分工的能力。</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山东省构建济南、青岛、淄博、济宁“四大高地”，各地差异化定位，区域间竞合并存、协同发展特征明显，从竞争看，区域间同质化与差异化并存，总体看，风险防控能力关乎集群可持续发展，外部环境不确定性对产业链韧性形成考验，错位发展与差异化竞争是破局的重要路径，从竞争看，区域间同质化与差异化并存，总体看，风险防控能力关乎集群可持续发展。</w:t>
      </w:r>
    </w:p>
    <w:p>
      <w:pPr>
        <w:spacing w:lineRule="exact" w:line="600" w:after="0"/>
        <w:ind w:firstLine="420"/>
      </w:pPr>
      <w:r>
        <w:rPr>
          <w:rFonts w:ascii="仿宋_GB2312" w:hAnsi="仿宋_GB2312" w:eastAsia="仿宋_GB2312"/>
          <w:b w:val="0"/>
          <w:sz w:val="32"/>
        </w:rPr>
        <w:t>国内长三角、珠三角机器人产业先发优势明显，对淄博形成人才虹吸与订单分流的双重竞争压力，外部环境不确定性对产业链韧性形成考验，错位发展与差异化竞争是破局的重要路径，从竞争看，区域间同质化与差异化并存，总体看，风险防控能力关乎集群可持续发展，外部环境不确定性对产业链韧性形成考验，错位发展与差异化竞争是破局的重要路径。</w:t>
      </w:r>
    </w:p>
    <w:p>
      <w:pPr>
        <w:spacing w:lineRule="exact" w:line="600" w:after="0"/>
        <w:ind w:firstLine="420"/>
      </w:pPr>
      <w:r>
        <w:rPr>
          <w:rFonts w:ascii="仿宋_GB2312" w:hAnsi="仿宋_GB2312" w:eastAsia="仿宋_GB2312"/>
          <w:b w:val="0"/>
          <w:sz w:val="32"/>
        </w:rPr>
        <w:t>淄博以核心零部件与协作机器人为特色错位竞争，有望在细分领域巩固并扩大自身的比较优势，从竞争看，区域间同质化与差异化并存，总体看，风险防控能力关乎集群可持续发展，外部环境不确定性对产业链韧性形成考验，错位发展与差异化竞争是破局的重要路径，从竞争看，区域间同质化与差异化并存，总体看，风险防控能力关乎集群可持续发展。</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整体规模仍偏小，2025年营收22亿元，与先进地区存在量级差距，需加快做大总量、提升集中度，外部环境不确定性对产业链韧性形成考验，错位发展与差异化竞争是破局的重要路径，从竞争看，区域间同质化与差异化并存，总体看，风险防控能力关乎集群可持续发展，外部环境不确定性对产业链韧性形成考验，错位发展与差异化竞争是破局的重要路径。</w:t>
      </w:r>
    </w:p>
    <w:p>
      <w:pPr>
        <w:spacing w:lineRule="exact" w:line="600" w:after="0"/>
        <w:ind w:firstLine="420"/>
      </w:pPr>
      <w:r>
        <w:rPr>
          <w:rFonts w:ascii="仿宋_GB2312" w:hAnsi="仿宋_GB2312" w:eastAsia="仿宋_GB2312"/>
          <w:b w:val="0"/>
          <w:sz w:val="32"/>
        </w:rPr>
        <w:t>高端人才特别是算法、芯片领域领军人才短缺，制约前沿技术突破与产品高端化步伐，是突出短板，从竞争看，区域间同质化与差异化并存，总体看，风险防控能力关乎集群可持续发展，外部环境不确定性对产业链韧性形成考验，错位发展与差异化竞争是破局的重要路径，从竞争看，区域间同质化与差异化并存，总体看，风险防控能力关乎集群可持续发展。</w:t>
      </w:r>
    </w:p>
    <w:p>
      <w:pPr>
        <w:spacing w:lineRule="exact" w:line="600" w:after="0"/>
        <w:ind w:firstLine="420"/>
      </w:pPr>
      <w:r>
        <w:rPr>
          <w:rFonts w:ascii="仿宋_GB2312" w:hAnsi="仿宋_GB2312" w:eastAsia="仿宋_GB2312"/>
          <w:b w:val="0"/>
          <w:sz w:val="32"/>
        </w:rPr>
        <w:t>中小企业融资难、创新能力弱等问题仍存，大中小企业融通发展的深度与广度有待进一步加强，外部环境不确定性对产业链韧性形成考验，错位发展与差异化竞争是破局的重要路径，从竞争看，区域间同质化与差异化并存，总体看，风险防控能力关乎集群可持续发展，外部环境不确定性对产业链韧性形成考验，错位发展与差异化竞争是破局的重要路径。</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宏观经济波动可能影响下游投资意愿，机器人订单存在周期性回落风险，需增强抗周期能力，从竞争看，区域间同质化与差异化并存，总体看，风险防控能力关乎集群可持续发展，外部环境不确定性对产业链韧性形成考验，错位发展与差异化竞争是破局的重要路径，从竞争看，区域间同质化与差异化并存，总体看，风险防控能力关乎集群可持续发展。</w:t>
      </w:r>
    </w:p>
    <w:p>
      <w:pPr>
        <w:spacing w:lineRule="exact" w:line="600" w:after="0"/>
        <w:ind w:firstLine="420"/>
      </w:pPr>
      <w:r>
        <w:rPr>
          <w:rFonts w:ascii="仿宋_GB2312" w:hAnsi="仿宋_GB2312" w:eastAsia="仿宋_GB2312"/>
          <w:b w:val="0"/>
          <w:sz w:val="32"/>
        </w:rPr>
        <w:t>关键零部件技术迭代快，若未能持续跟进，存在技术路线被颠覆、竞争优势被削弱的隐患，外部环境不确定性对产业链韧性形成考验，错位发展与差异化竞争是破局的重要路径，从竞争看，区域间同质化与差异化并存，总体看，风险防控能力关乎集群可持续发展，外部环境不确定性对产业链韧性形成考验，错位发展与差异化竞争是破局的重要路径。</w:t>
      </w:r>
    </w:p>
    <w:p>
      <w:pPr>
        <w:spacing w:lineRule="exact" w:line="600" w:after="0"/>
        <w:ind w:firstLine="420"/>
      </w:pPr>
      <w:r>
        <w:rPr>
          <w:rFonts w:ascii="仿宋_GB2312" w:hAnsi="仿宋_GB2312" w:eastAsia="仿宋_GB2312"/>
          <w:b w:val="0"/>
          <w:sz w:val="32"/>
        </w:rPr>
        <w:t>国际贸易摩擦与供应链扰动，可能影响高端元器件进口与海外市场拓展，外部不确定性需前瞻应对，从竞争看，区域间同质化与差异化并存，总体看，风险防控能力关乎集群可持续发展，外部环境不确定性对产业链韧性形成考验，错位发展与差异化竞争是破局的重要路径，从竞争看，区域间同质化与差异化并存，总体看，风险防控能力关乎集群可持续发展。</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山东省工信厅等25个部门单位联合印发《山东省机器人产业高质量发展行动计划（2025—2027年）》，提供顶层指引，从政策看，顶层设计与地方配套需形成合力，总体看，营商环境优化是集聚要素的重要保障，公共服务供给质量直接影响企业获得感，行业组织与专班协同有助于补强软性配套，从政策看，顶层设计与地方配套需形成合力。</w:t>
      </w:r>
    </w:p>
    <w:p>
      <w:pPr>
        <w:spacing w:lineRule="exact" w:line="600" w:after="0"/>
        <w:ind w:firstLine="420"/>
      </w:pPr>
      <w:r>
        <w:rPr>
          <w:rFonts w:ascii="仿宋_GB2312" w:hAnsi="仿宋_GB2312" w:eastAsia="仿宋_GB2312"/>
          <w:b w:val="0"/>
          <w:sz w:val="32"/>
        </w:rPr>
        <w:t>计划明确将淄博打造为国内外知名的智能协作机器人和核心零部件生产高地，定位清晰、目标可期，总体看，营商环境优化是集聚要素的重要保障，公共服务供给质量直接影响企业获得感，行业组织与专班协同有助于补强软性配套，从政策看，顶层设计与地方配套需形成合力，总体看，营商环境优化是集聚要素的重要保障，公共服务供给质量直接影响企业获得感。</w:t>
      </w:r>
    </w:p>
    <w:p>
      <w:pPr>
        <w:spacing w:lineRule="exact" w:line="600" w:after="0"/>
        <w:ind w:firstLine="420"/>
      </w:pPr>
      <w:r>
        <w:rPr>
          <w:rFonts w:ascii="仿宋_GB2312" w:hAnsi="仿宋_GB2312" w:eastAsia="仿宋_GB2312"/>
          <w:b w:val="0"/>
          <w:sz w:val="32"/>
        </w:rPr>
        <w:t>山东提出18条硬核措施，从技术攻关、人才引育到资金奖补多维度护航机器人产业高质量发展，行业组织与专班协同有助于补强软性配套，从政策看，顶层设计与地方配套需形成合力，总体看，营商环境优化是集聚要素的重要保障，公共服务供给质量直接影响企业获得感，行业组织与专班协同有助于补强软性配套，从政策看，顶层设计与地方配套需形成合力。</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淄博高新区构建梯度培育机制、强化政策引导、优化资源配置、创新服务保障，有力推动机器人产业集聚发展，总体看，营商环境优化是集聚要素的重要保障，公共服务供给质量直接影响企业获得感，行业组织与专班协同有助于补强软性配套，从政策看，顶层设计与地方配套需形成合力，总体看，营商环境优化是集聚要素的重要保障，公共服务供给质量直接影响企业获得感。</w:t>
      </w:r>
    </w:p>
    <w:p>
      <w:pPr>
        <w:spacing w:lineRule="exact" w:line="600" w:after="0"/>
        <w:ind w:firstLine="420"/>
      </w:pPr>
      <w:r>
        <w:rPr>
          <w:rFonts w:ascii="仿宋_GB2312" w:hAnsi="仿宋_GB2312" w:eastAsia="仿宋_GB2312"/>
          <w:b w:val="0"/>
          <w:sz w:val="32"/>
        </w:rPr>
        <w:t>出台“苗圃+孵化器+加速器+科技园区”一体化基地建设方案，完善企业从孵化到壮大的全成长链条，行业组织与专班协同有助于补强软性配套，从政策看，顶层设计与地方配套需形成合力，总体看，营商环境优化是集聚要素的重要保障，公共服务供给质量直接影响企业获得感，行业组织与专班协同有助于补强软性配套，从政策看，顶层设计与地方配套需形成合力。</w:t>
      </w:r>
    </w:p>
    <w:p>
      <w:pPr>
        <w:spacing w:lineRule="exact" w:line="600" w:after="0"/>
        <w:ind w:firstLine="420"/>
      </w:pPr>
      <w:r>
        <w:rPr>
          <w:rFonts w:ascii="仿宋_GB2312" w:hAnsi="仿宋_GB2312" w:eastAsia="仿宋_GB2312"/>
          <w:b w:val="0"/>
          <w:sz w:val="32"/>
        </w:rPr>
        <w:t>对链主企业实施“管家式”全链条服务，重点项目纳入网格化体系，实现审批不出园、服务不断档，总体看，营商环境优化是集聚要素的重要保障，公共服务供给质量直接影响企业获得感，行业组织与专班协同有助于补强软性配套，从政策看，顶层设计与地方配套需形成合力，总体看，营商环境优化是集聚要素的重要保障，公共服务供给质量直接影响企业获得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谋划智能机器人传动系统检测中心等公共服务项目，提升共性技术研发与检测服务能力，行业组织与专班协同有助于补强软性配套，从政策看，顶层设计与地方配套需形成合力，总体看，营商环境优化是集聚要素的重要保障，公共服务供给质量直接影响企业获得感，行业组织与专班协同有助于补强软性配套，从政策看，顶层设计与地方配套需形成合力。</w:t>
      </w:r>
    </w:p>
    <w:p>
      <w:pPr>
        <w:spacing w:lineRule="exact" w:line="600" w:after="0"/>
        <w:ind w:firstLine="420"/>
      </w:pPr>
      <w:r>
        <w:rPr>
          <w:rFonts w:ascii="仿宋_GB2312" w:hAnsi="仿宋_GB2312" w:eastAsia="仿宋_GB2312"/>
          <w:b w:val="0"/>
          <w:sz w:val="32"/>
        </w:rPr>
        <w:t>审批服务改革实现“一对一”跟踪，最快2小时拿照，企业登记不出园，营商效率与便利度较为突出，总体看，营商环境优化是集聚要素的重要保障，公共服务供给质量直接影响企业获得感，行业组织与专班协同有助于补强软性配套，从政策看，顶层设计与地方配套需形成合力，总体看，营商环境优化是集聚要素的重要保障，公共服务供给质量直接影响企业获得感。</w:t>
      </w:r>
    </w:p>
    <w:p>
      <w:pPr>
        <w:spacing w:lineRule="exact" w:line="600" w:after="0"/>
        <w:ind w:firstLine="420"/>
      </w:pPr>
      <w:r>
        <w:rPr>
          <w:rFonts w:ascii="仿宋_GB2312" w:hAnsi="仿宋_GB2312" w:eastAsia="仿宋_GB2312"/>
          <w:b w:val="0"/>
          <w:sz w:val="32"/>
        </w:rPr>
        <w:t>建立登记专员与网格联络员协作机制，为重点项目提供批前辅导，公共服务供给质量与响应速度较高，行业组织与专班协同有助于补强软性配套，从政策看，顶层设计与地方配套需形成合力，总体看，营商环境优化是集聚要素的重要保障，公共服务供给质量直接影响企业获得感，行业组织与专班协同有助于补强软性配套，从政策看，顶层设计与地方配套需形成合力。</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园区依托链主企业组建产业生态圈，发挥龙头在招商、标准制定、协同攻关中的组织与黏合作用，总体看，营商环境优化是集聚要素的重要保障，公共服务供给质量直接影响企业获得感，行业组织与专班协同有助于补强软性配套，从政策看，顶层设计与地方配套需形成合力，总体看，营商环境优化是集聚要素的重要保障，公共服务供给质量直接影响企业获得感。</w:t>
      </w:r>
    </w:p>
    <w:p>
      <w:pPr>
        <w:spacing w:lineRule="exact" w:line="600" w:after="0"/>
        <w:ind w:firstLine="420"/>
      </w:pPr>
      <w:r>
        <w:rPr>
          <w:rFonts w:ascii="仿宋_GB2312" w:hAnsi="仿宋_GB2312" w:eastAsia="仿宋_GB2312"/>
          <w:b w:val="0"/>
          <w:sz w:val="32"/>
        </w:rPr>
        <w:t>行业组织与专班协同补强软性配套，推动上下游信息对接、联合攻关与资源共享，协作机制日益健全，行业组织与专班协同有助于补强软性配套，从政策看，顶层设计与地方配套需形成合力，总体看，营商环境优化是集聚要素的重要保障，公共服务供给质量直接影响企业获得感，行业组织与专班协同有助于补强软性配套，从政策看，顶层设计与地方配套需形成合力。</w:t>
      </w:r>
    </w:p>
    <w:p>
      <w:pPr>
        <w:spacing w:lineRule="exact" w:line="600" w:after="0"/>
        <w:ind w:firstLine="420"/>
      </w:pPr>
      <w:r>
        <w:rPr>
          <w:rFonts w:ascii="仿宋_GB2312" w:hAnsi="仿宋_GB2312" w:eastAsia="仿宋_GB2312"/>
          <w:b w:val="0"/>
          <w:sz w:val="32"/>
        </w:rPr>
        <w:t>通过“串珠成链”模式，龙头企业带动配套企业入链成群，行业自律与产业链协同水平稳步提升，总体看，营商环境优化是集聚要素的重要保障，公共服务供给质量直接影响企业获得感，行业组织与专班协同有助于补强软性配套，从政策看，顶层设计与地方配套需形成合力，总体看，营商环境优化是集聚要素的重要保障，公共服务供给质量直接影响企业获得感。</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2025年园区机器人产业营收22亿元、增长22.9%，2026年一季度增长29.1%，对区域经济的贡献度稳步提升，从成效看，集群对区域经济的拉动作用持续显现，总体看，就业与税收效应是衡量集群价值的重要维度，溢出效应带动周边关联产业协同发展，社会效应正向且具备一定的可持续性，从成效看，集群对区域经济的拉动作用持续显现。</w:t>
      </w:r>
    </w:p>
    <w:p>
      <w:pPr>
        <w:spacing w:lineRule="exact" w:line="600" w:after="0"/>
        <w:ind w:firstLine="420"/>
      </w:pPr>
      <w:r>
        <w:rPr>
          <w:rFonts w:ascii="仿宋_GB2312" w:hAnsi="仿宋_GB2312" w:eastAsia="仿宋_GB2312"/>
          <w:b w:val="0"/>
          <w:sz w:val="32"/>
        </w:rPr>
        <w:t>集群带动高端装备与智能制造相关产值增长，成为高新区新旧动能转换与产业结构优化的重要引擎，总体看，就业与税收效应是衡量集群价值的重要维度，溢出效应带动周边关联产业协同发展，社会效应正向且具备一定的可持续性，从成效看，集群对区域经济的拉动作用持续显现，总体看，就业与税收效应是衡量集群价值的重要维度，溢出效应带动周边关联产业协同发展。</w:t>
      </w:r>
    </w:p>
    <w:p>
      <w:pPr>
        <w:spacing w:lineRule="exact" w:line="600" w:after="0"/>
        <w:ind w:firstLine="420"/>
      </w:pPr>
      <w:r>
        <w:rPr>
          <w:rFonts w:ascii="仿宋_GB2312" w:hAnsi="仿宋_GB2312" w:eastAsia="仿宋_GB2312"/>
          <w:b w:val="0"/>
          <w:sz w:val="32"/>
        </w:rPr>
        <w:t>龙头企业扩产与链主招商，预计将持续放大经济增量效应，财税贡献与产业拉动作用逐步增强，社会效应正向且具备一定的可持续性，从成效看，集群对区域经济的拉动作用持续显现，总体看，就业与税收效应是衡量集群价值的重要维度，溢出效应带动周边关联产业协同发展，社会效应正向且具备一定的可持续性，从成效看，集群对区域经济的拉动作用持续显现。</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机器人产业技术密集特征明显，集群发展带动研发、制造、运维等高质量就业岗位持续增加，总体看，就业与税收效应是衡量集群价值的重要维度，溢出效应带动周边关联产业协同发展，社会效应正向且具备一定的可持续性，从成效看，集群对区域经济的拉动作用持续显现，总体看，就业与税收效应是衡量集群价值的重要维度，溢出效应带动周边关联产业协同发展。</w:t>
      </w:r>
    </w:p>
    <w:p>
      <w:pPr>
        <w:spacing w:lineRule="exact" w:line="600" w:after="0"/>
        <w:ind w:firstLine="420"/>
      </w:pPr>
      <w:r>
        <w:rPr>
          <w:rFonts w:ascii="仿宋_GB2312" w:hAnsi="仿宋_GB2312" w:eastAsia="仿宋_GB2312"/>
          <w:b w:val="0"/>
          <w:sz w:val="32"/>
        </w:rPr>
        <w:t>园区服务企业招工与人才培养，缓解结构性用工矛盾，促进本地人才就地就业与技能提升，社会效应正向且具备一定的可持续性，从成效看，集群对区域经济的拉动作用持续显现，总体看，就业与税收效应是衡量集群价值的重要维度，溢出效应带动周边关联产业协同发展，社会效应正向且具备一定的可持续性，从成效看，集群对区域经济的拉动作用持续显现。</w:t>
      </w:r>
    </w:p>
    <w:p>
      <w:pPr>
        <w:spacing w:lineRule="exact" w:line="600" w:after="0"/>
        <w:ind w:firstLine="420"/>
      </w:pPr>
      <w:r>
        <w:rPr>
          <w:rFonts w:ascii="仿宋_GB2312" w:hAnsi="仿宋_GB2312" w:eastAsia="仿宋_GB2312"/>
          <w:b w:val="0"/>
          <w:sz w:val="32"/>
        </w:rPr>
        <w:t>产业链配套企业集聚，形成从工程师到技能工人的多层次就业吸纳能力，就业带动效应显著，总体看，就业与税收效应是衡量集群价值的重要维度，溢出效应带动周边关联产业协同发展，社会效应正向且具备一定的可持续性，从成效看，集群对区域经济的拉动作用持续显现，总体看，就业与税收效应是衡量集群价值的重要维度，溢出效应带动周边关联产业协同发展。</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带动精密制造、电子信息、软件服务等关联产业发展，产业链溢出效应逐步显现并不断放大，社会效应正向且具备一定的可持续性，从成效看，集群对区域经济的拉动作用持续显现，总体看，就业与税收效应是衡量集群价值的重要维度，溢出效应带动周边关联产业协同发展，社会效应正向且具备一定的可持续性，从成效看，集群对区域经济的拉动作用持续显现。</w:t>
      </w:r>
    </w:p>
    <w:p>
      <w:pPr>
        <w:spacing w:lineRule="exact" w:line="600" w:after="0"/>
        <w:ind w:firstLine="420"/>
      </w:pPr>
      <w:r>
        <w:rPr>
          <w:rFonts w:ascii="仿宋_GB2312" w:hAnsi="仿宋_GB2312" w:eastAsia="仿宋_GB2312"/>
          <w:b w:val="0"/>
          <w:sz w:val="32"/>
        </w:rPr>
        <w:t>“机器人+人工智能”生态培育，促进传统产业智能化改造，赋能更广泛制造业的转型升级，总体看，就业与税收效应是衡量集群价值的重要维度，溢出效应带动周边关联产业协同发展，社会效应正向且具备一定的可持续性，从成效看，集群对区域经济的拉动作用持续显现，总体看，就业与税收效应是衡量集群价值的重要维度，溢出效应带动周边关联产业协同发展。</w:t>
      </w:r>
    </w:p>
    <w:p>
      <w:pPr>
        <w:spacing w:lineRule="exact" w:line="600" w:after="0"/>
        <w:ind w:firstLine="420"/>
      </w:pPr>
      <w:r>
        <w:rPr>
          <w:rFonts w:ascii="仿宋_GB2312" w:hAnsi="仿宋_GB2312" w:eastAsia="仿宋_GB2312"/>
          <w:b w:val="0"/>
          <w:sz w:val="32"/>
        </w:rPr>
        <w:t>创新平台与孵化载体向周边开放，技术外溢带动区域整体创新能力与产业配套水平提升，社会效应正向且具备一定的可持续性，从成效看，集群对区域经济的拉动作用持续显现，总体看，就业与税收效应是衡量集群价值的重要维度，溢出效应带动周边关联产业协同发展，社会效应正向且具备一定的可持续性，从成效看，集群对区域经济的拉动作用持续显现。</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服务机器人产业做法入选国家级优秀案例并全国推广，形成良好示范社会效益与政策口碑，总体看，就业与税收效应是衡量集群价值的重要维度，溢出效应带动周边关联产业协同发展，社会效应正向且具备一定的可持续性，从成效看，集群对区域经济的拉动作用持续显现，总体看，就业与税收效应是衡量集群价值的重要维度，溢出效应带动周边关联产业协同发展。</w:t>
      </w:r>
    </w:p>
    <w:p>
      <w:pPr>
        <w:spacing w:lineRule="exact" w:line="600" w:after="0"/>
        <w:ind w:firstLine="420"/>
      </w:pPr>
      <w:r>
        <w:rPr>
          <w:rFonts w:ascii="仿宋_GB2312" w:hAnsi="仿宋_GB2312" w:eastAsia="仿宋_GB2312"/>
          <w:b w:val="0"/>
          <w:sz w:val="32"/>
        </w:rPr>
        <w:t>集群发展提升城市产业能级与青年人才吸引力，增强区域创新活力与社会认同感，社会效应正向且具备一定的可持续性，从成效看，集群对区域经济的拉动作用持续显现，总体看，就业与税收效应是衡量集群价值的重要维度，溢出效应带动周边关联产业协同发展，社会效应正向且具备一定的可持续性，从成效看，集群对区域经济的拉动作用持续显现。</w:t>
      </w:r>
    </w:p>
    <w:p>
      <w:pPr>
        <w:spacing w:lineRule="exact" w:line="600" w:after="0"/>
        <w:ind w:firstLine="420"/>
      </w:pPr>
      <w:r>
        <w:rPr>
          <w:rFonts w:ascii="仿宋_GB2312" w:hAnsi="仿宋_GB2312" w:eastAsia="仿宋_GB2312"/>
          <w:b w:val="0"/>
          <w:sz w:val="32"/>
        </w:rPr>
        <w:t>绿色低碳的智能制造导向，契合“双碳”目标，产生积极的环境效益与社会正向外部性，总体看，就业与税收效应是衡量集群价值的重要维度，溢出效应带动周边关联产业协同发展，社会效应正向且具备一定的可持续性，从成效看，集群对区域经济的拉动作用持续显现，总体看，就业与税收效应是衡量集群价值的重要维度，溢出效应带动周边关联产业协同发展。</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整体规模偏小、高端人才不足、部分关键环节对外依赖，是集群当前需要着力破解的主要短板，从路径看，系统谋划与重点突破需统筹推进，总体看，长效机制建设是保障持续发展的关键，补链强链延链应结合本地实际分步实施，改革攻坚与制度供给护航集群行稳致远，从路径看，系统谋划与重点突破需统筹推进，总体看，长效机制建设是保障持续发展的关键。</w:t>
      </w:r>
    </w:p>
    <w:p>
      <w:pPr>
        <w:spacing w:lineRule="exact" w:line="600" w:after="0"/>
        <w:ind w:firstLine="420"/>
      </w:pPr>
      <w:r>
        <w:rPr>
          <w:rFonts w:ascii="仿宋_GB2312" w:hAnsi="仿宋_GB2312" w:eastAsia="仿宋_GB2312"/>
          <w:b w:val="0"/>
          <w:sz w:val="32"/>
        </w:rPr>
        <w:t>品牌影响力与整机带动能力有待加强，中小企业融通发展的深度与广度仍显不足，补链强链延链应结合本地实际分步实施，改革攻坚与制度供给护航集群行稳致远，从路径看，系统谋划与重点突破需统筹推进，总体看，长效机制建设是保障持续发展的关键，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外部竞争与周期风险并存，需以系统思维统筹应对规模、技术与市场三重挑战，筑牢发展根基，总体看，长效机制建设是保障持续发展的关键，补链强链延链应结合本地实际分步实施，改革攻坚与制度供给护航集群行稳致远，从路径看，系统谋划与重点突破需统筹推进，总体看，长效机制建设是保障持续发展的关键，补链强链延链应结合本地实际分步实施。</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突破高端传感器、先进伺服系统等短板环节，提升四大核心零部件自主可控水平与供应安全，改革攻坚与制度供给护航集群行稳致远，从路径看，系统谋划与重点突破需统筹推进，总体看，长效机制建设是保障持续发展的关键，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强链：巩固行星减速机、协作机器人等优势，向价值链研发与系统集成高端环节持续攀升，总体看，长效机制建设是保障持续发展的关键，补链强链延链应结合本地实际分步实施，改革攻坚与制度供给护航集群行稳致远，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延链：拓展“机器人+AI”应用服务，向运维、数据、场景解决方案延伸，丰富完善产业生态，改革攻坚与制度供给护航集群行稳致远，从路径看，系统谋划与重点突破需统筹推进，总体看，长效机制建设是保障持续发展的关键，补链强链延链应结合本地实际分步实施，改革攻坚与制度供给护航集群行稳致远，从路径看，系统谋划与重点突破需统筹推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企业梯度培育，做强链主企业、壮大专精特新、孵化初创企业，形成“头雁引领、雁阵齐飞”格局，总体看，长效机制建设是保障持续发展的关键，补链强链延链应结合本地实际分步实施，改革攻坚与制度供给护航集群行稳致远，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鼓励龙头企业开放场景与订单，带动配套企业入链，深化大中小企业融通发展与协同创新，改革攻坚与制度供给护航集群行稳致远，从路径看，系统谋划与重点突破需统筹推进，总体看，长效机制建设是保障持续发展的关键，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支持企业上市融资与兼并重组，培育具有生态主导力与全球竞争力的“链主”企业，总体看，长效机制建设是保障持续发展的关键，补链强链延链应结合本地实际分步实施，改革攻坚与制度供给护航集群行稳致远，从路径看，系统谋划与重点突破需统筹推进，总体看，长效机制建设是保障持续发展的关键，补链强链延链应结合本地实际分步实施。</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与清华、山大等高校院所合作，共建新型研发机构，协同攻关关键核心技术瓶颈，改革攻坚与制度供给护航集群行稳致远，从路径看，系统谋划与重点突破需统筹推进，总体看，长效机制建设是保障持续发展的关键，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用足山东对创新平台1000万元、核心零部件企业300万元等奖补政策，撬动企业研发投入，总体看，长效机制建设是保障持续发展的关键，补链强链延链应结合本地实际分步实施，改革攻坚与制度供给护航集群行稳致远，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建设公共检测与中试平台，畅通“研发—中试—产业化”转化通道，提升成果转化效率，改革攻坚与制度供给护航集群行稳致远，从路径看，系统谋划与重点突破需统筹推进，总体看，长效机制建设是保障持续发展的关键，补链强链延链应结合本地实际分步实施，改革攻坚与制度供给护航集群行稳致远，从路径看，系统谋划与重点突破需统筹推进。</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实施机器人专项人才计划，引进算法、芯片领军人才，完善本地化人才培养与保留体系，总体看，长效机制建设是保障持续发展的关键，补链强链延链应结合本地实际分步实施，改革攻坚与制度供给护航集群行稳致远，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发挥产业基金与金融杠杆作用，缓解中小企业融资难，保障重大项目资金需求与落地，改革攻坚与制度供给护航集群行稳致远，从路径看，系统谋划与重点突破需统筹推进，总体看，长效机制建设是保障持续发展的关键，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推进“标准地+承诺制”，保障研发制造用地，强化能耗与环保正向引导，夯实要素底座，总体看，长效机制建设是保障持续发展的关键，补链强链延链应结合本地实际分步实施，改革攻坚与制度供给护航集群行稳致远，从路径看，系统谋划与重点突破需统筹推进，总体看，长效机制建设是保障持续发展的关键，补链强链延链应结合本地实际分步实施。</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落实省级行动计划，细化淄博高地专项政策，形成省市上下贯通、协同发力的政策合力，改革攻坚与制度供给护航集群行稳致远，从路径看，系统谋划与重点突破需统筹推进，总体看，长效机制建设是保障持续发展的关键，补链强链延链应结合本地实际分步实施，改革攻坚与制度供给护航集群行稳致远，从路径看，系统谋划与重点突破需统筹推进。</w:t>
      </w:r>
    </w:p>
    <w:p>
      <w:pPr>
        <w:spacing w:lineRule="exact" w:line="600" w:after="0"/>
        <w:ind w:firstLine="420"/>
      </w:pPr>
      <w:r>
        <w:rPr>
          <w:rFonts w:ascii="仿宋_GB2312" w:hAnsi="仿宋_GB2312" w:eastAsia="仿宋_GB2312"/>
          <w:b w:val="0"/>
          <w:sz w:val="32"/>
        </w:rPr>
        <w:t>持续优化营商环境，推广“项目管家”“网格化”服务，切实降低制度性交易成本，总体看，长效机制建设是保障持续发展的关键，补链强链延链应结合本地实际分步实施，改革攻坚与制度供给护航集群行稳致远，从路径看，系统谋划与重点突破需统筹推进，总体看，长效机制建设是保障持续发展的关键，补链强链延链应结合本地实际分步实施。</w:t>
      </w:r>
    </w:p>
    <w:p>
      <w:pPr>
        <w:spacing w:lineRule="exact" w:line="600" w:after="0"/>
        <w:ind w:firstLine="420"/>
      </w:pPr>
      <w:r>
        <w:rPr>
          <w:rFonts w:ascii="仿宋_GB2312" w:hAnsi="仿宋_GB2312" w:eastAsia="仿宋_GB2312"/>
          <w:b w:val="0"/>
          <w:sz w:val="32"/>
        </w:rPr>
        <w:t>支持行业组织发挥作用，搭建供需对接与标准制定平台，护航集群行稳致远、提质增效，改革攻坚与制度供给护航集群行稳致远，从路径看，系统谋划与重点突破需统筹推进，总体看，长效机制建设是保障持续发展的关键，补链强链延链应结合本地实际分步实施，改革攻坚与制度供给护航集群行稳致远，从路径看，系统谋划与重点突破需统筹推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titleurl</w:t>
      </w:r>
    </w:p>
    <w:p>
      <w:pPr>
        <w:spacing w:lineRule="exact" w:line="600" w:after="0"/>
        <w:ind w:firstLine="0"/>
      </w:pPr>
      <w:r>
        <w:rPr>
          <w:rFonts w:ascii="仿宋_GB2312" w:hAnsi="仿宋_GB2312" w:eastAsia="仿宋_GB2312"/>
          <w:b w:val="0"/>
          <w:sz w:val="32"/>
        </w:rPr>
        <w:t>titleurl</w:t>
      </w:r>
    </w:p>
    <w:p>
      <w:pPr>
        <w:spacing w:lineRule="exact" w:line="600" w:after="0"/>
        <w:ind w:firstLine="0"/>
      </w:pPr>
      <w:r>
        <w:rPr>
          <w:rFonts w:ascii="仿宋_GB2312" w:hAnsi="仿宋_GB2312" w:eastAsia="仿宋_GB2312"/>
          <w:b w:val="0"/>
          <w:sz w:val="32"/>
        </w:rPr>
        <w:t>titleurl</w:t>
      </w:r>
    </w:p>
    <w:p>
      <w:pPr>
        <w:spacing w:lineRule="exact" w:line="600" w:after="0"/>
        <w:ind w:firstLine="0"/>
      </w:pPr>
      <w:r>
        <w:rPr>
          <w:rFonts w:ascii="仿宋_GB2312" w:hAnsi="仿宋_GB2312" w:eastAsia="仿宋_GB2312"/>
          <w:b w:val="0"/>
          <w:sz w:val="32"/>
        </w:rPr>
        <w:t>titleurl</w:t>
      </w:r>
    </w:p>
    <w:p>
      <w:pPr>
        <w:spacing w:lineRule="exact" w:line="600" w:after="0"/>
        <w:ind w:firstLine="0"/>
      </w:pPr>
      <w:r>
        <w:rPr>
          <w:rFonts w:ascii="仿宋_GB2312" w:hAnsi="仿宋_GB2312" w:eastAsia="仿宋_GB2312"/>
          <w:b w:val="0"/>
          <w:sz w:val="32"/>
        </w:rPr>
        <w:t>titleurl</w:t>
      </w:r>
    </w:p>
    <w:p>
      <w:pPr>
        <w:spacing w:lineRule="exact" w:line="600" w:after="0"/>
        <w:ind w:firstLine="0"/>
      </w:pPr>
      <w:r>
        <w:rPr>
          <w:rFonts w:ascii="仿宋_GB2312" w:hAnsi="仿宋_GB2312" w:eastAsia="仿宋_GB2312"/>
          <w:b w:val="0"/>
          <w:sz w:val="32"/>
        </w:rPr>
        <w:t>titleurl</w:t>
      </w:r>
    </w:p>
    <w:p>
      <w:pPr>
        <w:spacing w:lineRule="exact" w:line="600" w:after="0"/>
        <w:ind w:firstLine="0"/>
      </w:pPr>
      <w:r>
        <w:rPr>
          <w:rFonts w:ascii="仿宋_GB2312" w:hAnsi="仿宋_GB2312" w:eastAsia="仿宋_GB2312"/>
          <w:b w:val="0"/>
          <w:sz w:val="32"/>
        </w:rPr>
        <w:t>titleurl</w:t>
      </w:r>
    </w:p>
    <w:p>
      <w:pPr>
        <w:spacing w:lineRule="exact" w:line="600" w:after="0"/>
        <w:ind w:firstLine="0"/>
      </w:pPr>
      <w:r>
        <w:rPr>
          <w:rFonts w:ascii="仿宋_GB2312" w:hAnsi="仿宋_GB2312" w:eastAsia="仿宋_GB2312"/>
          <w:b w:val="0"/>
          <w:sz w:val="32"/>
        </w:rPr>
        <w:t>titleurl</w:t>
      </w:r>
    </w:p>
    <w:p>
      <w:pPr>
        <w:spacing w:lineRule="exact" w:line="600" w:after="0"/>
        <w:ind w:firstLine="0"/>
      </w:pPr>
      <w:r>
        <w:rPr>
          <w:rFonts w:ascii="仿宋_GB2312" w:hAnsi="仿宋_GB2312" w:eastAsia="仿宋_GB2312"/>
          <w:b w:val="0"/>
          <w:sz w:val="32"/>
        </w:rPr>
        <w:t>titleurl</w:t>
      </w:r>
    </w:p>
    <w:p>
      <w:pPr>
        <w:spacing w:lineRule="exact" w:line="600" w:after="0"/>
        <w:ind w:firstLine="0"/>
      </w:pPr>
      <w:r>
        <w:rPr>
          <w:rFonts w:ascii="仿宋_GB2312" w:hAnsi="仿宋_GB2312" w:eastAsia="仿宋_GB2312"/>
          <w:b w:val="0"/>
          <w:sz w:val="32"/>
        </w:rPr>
        <w:t>titleurl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