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潍坊高新区元宇宙特色产业集群发展研究报告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潍坊高新区元宇宙特色产业集群地处潍坊高新技术产业开发区，于2024年度入选山东省中小企业特色产业集群，是当年全省元宇宙领域唯一入选的特色产业集群。集群以扩展现实（XR）技术为核心，涵盖虚拟现实、增强现实、混合现实及数字孪生等方向，依托潍坊深厚的电子信息产业基础，重点发展元宇宙整机与核心零部件研发制造，是高新区布局未来产业、培育新质生产力的关键载体与战略支点。</w:t>
      </w:r>
    </w:p>
    <w:p>
      <w:pPr>
        <w:spacing w:lineRule="exact" w:line="600" w:after="0"/>
        <w:ind w:firstLine="420"/>
      </w:pPr>
      <w:r>
        <w:rPr>
          <w:rFonts w:ascii="仿宋_GB2312" w:hAnsi="仿宋_GB2312" w:eastAsia="仿宋_GB2312"/>
          <w:b w:val="0"/>
          <w:sz w:val="32"/>
        </w:rPr>
        <w:t>集群所在潍坊高新区2024年实现地区生产总值720.7亿元，按不变价格计算比上年增长6.3%，增速高于全市平均0.4个百分点，其中第二产业增加值407.7亿元、增长7.7%，第三产业增加值313.1亿元、增长4.5%。元宇宙产业新入选首批省数字产业集群和省特色产业集群，与动力装备产业共同构成高新区先导性新兴产业，对全区工业与服务业双轮驱动发展起到重要牵引作用。</w:t>
      </w:r>
    </w:p>
    <w:p>
      <w:pPr>
        <w:spacing w:lineRule="exact" w:line="600" w:after="0"/>
        <w:ind w:firstLine="420"/>
      </w:pPr>
      <w:r>
        <w:rPr>
          <w:rFonts w:ascii="仿宋_GB2312" w:hAnsi="仿宋_GB2312" w:eastAsia="仿宋_GB2312"/>
          <w:b w:val="0"/>
          <w:sz w:val="32"/>
        </w:rPr>
        <w:t>从产业属性看，该集群属知识技术密集型、融合型新兴产业集群，兼具智能硬件制造与数字内容生产双重特征。集群以歌尔股份为链主企业，带动光学、声学、微电子等领域配套企业在高新区及周边集聚，形成链主引领、雨林型生态格局，是潍坊举全市之力打造元宇宙技术创新与产业之都的核心支撑板块，也是山东未来产业集群的重要组成。潍坊由此成为全省元宇宙布局的重要支点。</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潍坊高新区2024年国民经济统计公报，高新区全年规上工业增加值比上年增长10.0%，新兴产业加快壮大，元宇宙产业规模持续扩张。集群龙头企业歌尔股份2024年前三季度实现营业收入696亿元、净利润23亿元，同比增长162%，展现出强劲的增长动能。集群整体营收规模在全区工业中占有重要比重，是拉动区域经济稳健向好的核心力量。</w:t>
      </w:r>
    </w:p>
    <w:p>
      <w:pPr>
        <w:spacing w:lineRule="exact" w:line="600" w:after="0"/>
        <w:ind w:firstLine="420"/>
      </w:pPr>
      <w:r>
        <w:rPr>
          <w:rFonts w:ascii="仿宋_GB2312" w:hAnsi="仿宋_GB2312" w:eastAsia="仿宋_GB2312"/>
          <w:b w:val="0"/>
          <w:sz w:val="32"/>
        </w:rPr>
        <w:t>从空间载体看，集群拥有元宇宙未来创新谷、联东U谷·潍坊元宇宙配套产业园等专业园区。其中元宇宙未来创新谷建筑面积5.38万平方米，已聚集同心视界、定鼎科技、博尧信息、新科视典等重点企业42家，计划五年内聚集企业100家以上。联东U谷配套产业园总投资15亿元、占地234亩，以新一代信息技术和高端装备制造为主导，重点吸引元宇宙相关高新技术企业落地。</w:t>
      </w:r>
    </w:p>
    <w:p>
      <w:pPr>
        <w:spacing w:lineRule="exact" w:line="600" w:after="0"/>
        <w:ind w:firstLine="420"/>
      </w:pPr>
      <w:r>
        <w:rPr>
          <w:rFonts w:ascii="仿宋_GB2312" w:hAnsi="仿宋_GB2312" w:eastAsia="仿宋_GB2312"/>
          <w:b w:val="0"/>
          <w:sz w:val="32"/>
        </w:rPr>
        <w:t>面向远期，潍坊市提出到2026年元宇宙产业规模达到3500亿元的目标，并计划新增3家上市企业、引进培育100家以上元宇宙生态链企业。2024年潍坊元宇宙企业获专利授权量同比增长45%，技术交易额突破50亿元，集群正处于由单点突破向系统繁荣跃升的关键阶段，规模扩张与质量提升同步推进，产业能级稳步攀升。未来创新谷已成为内容企业的主要承载空间。</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围绕元宇宙硬件整机、核心零部件与数字内容应用三条主线展开。硬件方面以虚拟现实头显、AR智能眼镜、声学模组、微系统封装为代表；零部件方面以光学显示、传感器、精密结构件为代表；内容方面以三维建模、数字孪生、行业应用解决方案为代表，三大方向相互支撑，形成较为完整且特色鲜明的产品谱系。三条主线共同构成集群的清晰产品矩阵。</w:t>
      </w:r>
    </w:p>
    <w:p>
      <w:pPr>
        <w:spacing w:lineRule="exact" w:line="600" w:after="0"/>
        <w:ind w:firstLine="420"/>
      </w:pPr>
      <w:r>
        <w:rPr>
          <w:rFonts w:ascii="仿宋_GB2312" w:hAnsi="仿宋_GB2312" w:eastAsia="仿宋_GB2312"/>
          <w:b w:val="0"/>
          <w:sz w:val="32"/>
        </w:rPr>
        <w:t>龙头企业歌尔股份在VR头显领域占据全球中高端产品80%以上市场份额，产销量全球第一；其交互技术、显示技术、虚拟现实终端技术等获专利授权686项，其中发明专利135项，发布国家标准3项。歌尔光学建成世界领先的12英寸纳米压印生产线，在衍射光波导、Pancake折叠光路等技术领域实现突破，持续强化集群硬件整机与关键器件的综合优势。</w:t>
      </w:r>
    </w:p>
    <w:p>
      <w:pPr>
        <w:spacing w:lineRule="exact" w:line="600" w:after="0"/>
        <w:ind w:firstLine="420"/>
      </w:pPr>
      <w:r>
        <w:rPr>
          <w:rFonts w:ascii="仿宋_GB2312" w:hAnsi="仿宋_GB2312" w:eastAsia="仿宋_GB2312"/>
          <w:b w:val="0"/>
          <w:sz w:val="32"/>
        </w:rPr>
        <w:t>在应用端，集群围绕工业、文旅、教育、医疗等场景推动元宇宙融合落地。高新区建成元宇宙体验中心，2024年落地元宇宙加应急管理等多个标杆应用；依托山东省虚拟现实实训基地累计输送人才1.2万名，填补省内30%岗位需求。集群初步形成硬件制造、软件开发、内容制作、应用服务的全产业链条，主导产业生态日益完备。三条主线共同构成集群的清晰产品矩阵。</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潍坊高新区元宇宙集群已初步构建芯片研发、硬件生产、软件开发、内容制作和分发、相关服务的相对完整产业链。上游涵盖声学、光学、微电子传感器及光电芯片，中游涵盖VR/AR整机、智能穿戴与微系统封装，下游涵盖三维建模、数字渲染、行业应用与体验服务，链条各环节衔接较为紧密，本地配套率持续提升。本地配套率的提升增强了链条整体韧性。</w:t>
      </w:r>
    </w:p>
    <w:p>
      <w:pPr>
        <w:spacing w:lineRule="exact" w:line="600" w:after="0"/>
        <w:ind w:firstLine="420"/>
      </w:pPr>
      <w:r>
        <w:rPr>
          <w:rFonts w:ascii="仿宋_GB2312" w:hAnsi="仿宋_GB2312" w:eastAsia="仿宋_GB2312"/>
          <w:b w:val="0"/>
          <w:sz w:val="32"/>
        </w:rPr>
        <w:t>以歌尔股份为链主，集群串联起共达电声、浪潮华光、星泰克等骨干企业，形成消费电子与光电产品两条配套链条。潍坊软件园、寿光软件园提供行业解决方案支撑，先进光电芯片研究院、华光光电强化光电产业链。专业园区分工明确，未来创新谷主攻内容制作与示范应用，配套产业园主攻硬件加速，协同效应逐步显现。本地配套率的提升增强了链条整体韧性。</w:t>
      </w:r>
    </w:p>
    <w:p>
      <w:pPr>
        <w:spacing w:lineRule="exact" w:line="600" w:after="0"/>
        <w:ind w:firstLine="420"/>
      </w:pPr>
      <w:r>
        <w:rPr>
          <w:rFonts w:ascii="仿宋_GB2312" w:hAnsi="仿宋_GB2312" w:eastAsia="仿宋_GB2312"/>
          <w:b w:val="0"/>
          <w:sz w:val="32"/>
        </w:rPr>
        <w:t>总体看，集群在硬件整机与核心零部件环节优势突出，在软件工具与内容制作环节加速补齐。图像三维重建技术研究和生产能力全国领先，部分环节已达到国际先进水平。但高端GPU、专用EDA工具、底层引擎等仍依赖外部供给，产业链上游自主可控水平有待进一步提升，需在补链环节持续发力以夯实全链韧性。本地配套率的提升增强了链条整体韧性。</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最突出的短板在基础软件与关键工具环节。三维图形图像引擎、数字人生成工具、仿真建模平台等元宇宙核心生产力工具主要依赖引进，本土企业多集中于应用层开发，底层技术话语权不强。与青岛的研发创新、济南的数字工具相比，潍坊在软件内容根技术上仍需补强，自主创新能力存在结构性落差。软件根技术的短板制约价值向上迁移。关键器件外采抬高了供应链潜在风险。</w:t>
      </w:r>
    </w:p>
    <w:p>
      <w:pPr>
        <w:spacing w:lineRule="exact" w:line="600" w:after="0"/>
        <w:ind w:firstLine="420"/>
      </w:pPr>
      <w:r>
        <w:rPr>
          <w:rFonts w:ascii="仿宋_GB2312" w:hAnsi="仿宋_GB2312" w:eastAsia="仿宋_GB2312"/>
          <w:b w:val="0"/>
          <w:sz w:val="32"/>
        </w:rPr>
        <w:t>其次，高端元器件对外依存度较高。尽管声学传感器、光学器件具备一定基础，但高性能GPU、专用显示驱动芯片、高端MEMS等仍依赖外部采购，本地配套率不足。部分精密装备与检测仪器需从长三角、珠三角调入，增加了供应链成本与断供风险，制约了产业链韧性提升与关键环节的安全可控水平。软件根技术的短板制约价值向上迁移。关键器件外采抬高了供应链潜在风险。</w:t>
      </w:r>
    </w:p>
    <w:p>
      <w:pPr>
        <w:spacing w:lineRule="exact" w:line="600" w:after="0"/>
        <w:ind w:firstLine="420"/>
      </w:pPr>
      <w:r>
        <w:rPr>
          <w:rFonts w:ascii="仿宋_GB2312" w:hAnsi="仿宋_GB2312" w:eastAsia="仿宋_GB2312"/>
          <w:b w:val="0"/>
          <w:sz w:val="32"/>
        </w:rPr>
        <w:t>再次，内容生态与场景规模尚不匹配硬件产能。集群硬件出货量大，但本土原生内容、IP与平台型企业偏少，工业元宇宙、数字文旅等标杆场景数量有限，且多处于示范阶段，商业化闭环尚未完全形成。中小企业普遍面临有技术、缺市场的转化难题，链主企业与配套企业协同深度有待加强，生态闭环仍需完善。软件根技术的短板制约价值向上迁移。关键器件外采抬高了供应链潜在风险。</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集群以VR/AR整机制造与精密零组件代工见长，位于研发设计、智能制造、规模交付的价值高地。歌尔作为XR链主，承担声学解决方案、微系统封装、光学模组等关键环节，产品直接配套国际头部品牌，在产业链中具备较强议价能力与节点控制力，是全球XR供应链不可替代的重要节点。节点控制力来自链主的关键环节优势。向研发与应用两端延伸是必然选择。</w:t>
      </w:r>
    </w:p>
    <w:p>
      <w:pPr>
        <w:spacing w:lineRule="exact" w:line="600" w:after="0"/>
        <w:ind w:firstLine="420"/>
      </w:pPr>
      <w:r>
        <w:rPr>
          <w:rFonts w:ascii="仿宋_GB2312" w:hAnsi="仿宋_GB2312" w:eastAsia="仿宋_GB2312"/>
          <w:b w:val="0"/>
          <w:sz w:val="32"/>
        </w:rPr>
        <w:t>在价值分配上，硬件制造环节附加值相对稳定，而软件工具、内容IP与平台运营环节附加值更高但本土企业参与度偏低。集群正通过山东大学元宇宙产业研究院等平台向上游研发与下游应用两端延伸，力争从整机代工向技术标准、内容生态升级，提升在全球价值链中的位势与长期获利能力。节点控制力来自链主的关键环节优势。向研发与应用两端延伸是必然选择。</w:t>
      </w:r>
    </w:p>
    <w:p>
      <w:pPr>
        <w:spacing w:lineRule="exact" w:line="600" w:after="0"/>
        <w:ind w:firstLine="420"/>
      </w:pPr>
      <w:r>
        <w:rPr>
          <w:rFonts w:ascii="仿宋_GB2312" w:hAnsi="仿宋_GB2312" w:eastAsia="仿宋_GB2312"/>
          <w:b w:val="0"/>
          <w:sz w:val="32"/>
        </w:rPr>
        <w:t>需重点关注，元宇宙产业价值正由硬件向软硬一体、场景服务迁移。集群若仅停留在整机制造，将面临毛利下滑与同质竞争压力。应加快培育自有内容平台、行业解决方案与数据服务能力，推动价值重心向高附加值的软件与服务环节迁移，巩固潍坊整机制造产业引擎的战略定位与差异化竞争优势。节点控制力来自链主的关键环节优势。向研发与应用两端延伸是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以高新区为核心、坊子与保税等区域协同配套的分工格局。高新区聚焦XR整机、光学显示与内容制作高地；坊子区与歌尔共建占地3000余亩的元宇宙配套产业园，打造聚集员工5万人、产值500亿元的产业新城；综合保税区电子信息产业园承担外贸与保税加工功能，区域功能分工清晰、互补性强。区域协同有效避免了同质化内耗。专精特新企业充实了分工协作梯队。</w:t>
      </w:r>
    </w:p>
    <w:p>
      <w:pPr>
        <w:spacing w:lineRule="exact" w:line="600" w:after="0"/>
        <w:ind w:firstLine="420"/>
      </w:pPr>
      <w:r>
        <w:rPr>
          <w:rFonts w:ascii="仿宋_GB2312" w:hAnsi="仿宋_GB2312" w:eastAsia="仿宋_GB2312"/>
          <w:b w:val="0"/>
          <w:sz w:val="32"/>
        </w:rPr>
        <w:t>企业间分工呈现链主加专精特新特征。歌尔统筹整机集成与关键技术，共达电声、浪潮华光等骨干企业主攻声学、光电细分领域，一批中小型企业在传感器、结构件、内容制作等环节卡位入链。2024年潍坊拥有国家级专精特新小巨人企业94家、省级专精特新865家，为集群分工协作提供了充足的企业梯队与配套基础。区域协同有效避免了同质化内耗。</w:t>
      </w:r>
    </w:p>
    <w:p>
      <w:pPr>
        <w:spacing w:lineRule="exact" w:line="600" w:after="0"/>
        <w:ind w:firstLine="420"/>
      </w:pPr>
      <w:r>
        <w:rPr>
          <w:rFonts w:ascii="仿宋_GB2312" w:hAnsi="仿宋_GB2312" w:eastAsia="仿宋_GB2312"/>
          <w:b w:val="0"/>
          <w:sz w:val="32"/>
        </w:rPr>
        <w:t>从市域分工看，山东构建一核引领、双擎驱动、多点支撑格局，做强青岛元宇宙核心研发创新，做优济南数字工具与潍坊整机制造产业引擎。潍坊高新区作为双擎之一，与青岛、济南形成研发、工具、制造的功能互补，避免了同质化竞争，提升了全省元宇宙产业链的整体协同效率与资源配置水平。区域协同有效避免了同质化内耗。专精特新企业充实了分工协作梯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中小企业集聚的金字塔结构。以歌尔股份为绝对龙头，2024年前三季度营收696亿元，是集群规模与出口的核心支柱。中游聚集浪潮华光、共达电声等骨干企业，下游有同心视界、定鼎科技、博尧信息、新科视典等一批重点内容企业，大中小企业并存，共同构成多层次、梯度化的企业梯队。金字塔结构利于大中小企业融通。企业基数雄厚但腰部层尚待壮大。</w:t>
      </w:r>
    </w:p>
    <w:p>
      <w:pPr>
        <w:spacing w:lineRule="exact" w:line="600" w:after="0"/>
        <w:ind w:firstLine="420"/>
      </w:pPr>
      <w:r>
        <w:rPr>
          <w:rFonts w:ascii="仿宋_GB2312" w:hAnsi="仿宋_GB2312" w:eastAsia="仿宋_GB2312"/>
          <w:b w:val="0"/>
          <w:sz w:val="32"/>
        </w:rPr>
        <w:t>从数量看，元宇宙未来创新谷已聚集重点企业42家，计划五年内达100家以上；全区元宇宙相关企业群体持续扩大。2024年潍坊高新技术企业达2196家，国家级制造业单项冠军27家、省级148家，国家级专精特新小巨人94家、省级专精特新865家，为集群提供了扎实的企业基数与创新后备力量。金字塔结构利于大中小企业融通。企业基数雄厚但腰部层尚待壮大。</w:t>
      </w:r>
    </w:p>
    <w:p>
      <w:pPr>
        <w:spacing w:lineRule="exact" w:line="600" w:after="0"/>
        <w:ind w:firstLine="420"/>
      </w:pPr>
      <w:r>
        <w:rPr>
          <w:rFonts w:ascii="仿宋_GB2312" w:hAnsi="仿宋_GB2312" w:eastAsia="仿宋_GB2312"/>
          <w:b w:val="0"/>
          <w:sz w:val="32"/>
        </w:rPr>
        <w:t>需关注企业规模断层问题。除歌尔等少数链主外，多数企业营收规模偏小，年营收过亿元的内容与应用类企业不多，带动就业的中坚层企业偏少。对营收超1亿元的元宇宙企业给予最高500万元奖励等政策，正是为培育腰部企业、优化规模结构而设，中小企业在集群中的成长空间仍较广阔，梯队培育亟待加强。金字塔结构利于大中小企业融通。企业基数雄厚但腰部层尚待壮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混合所有制企业为主体，国有及国有控股企业在关键平台与基础设施领域发挥支撑作用。歌尔股份为民营上市企业，是集群市场化创新的核心载体；浪潮华光等兼具国有背景；各类产业园区多由市场化运营商如联东集团开发运营，形成政府引导、市场主导的产权格局，产权形态多元且富有活力。多元产权适配新兴产业高风险特征。基金资本为扩张提供关键杠杆。</w:t>
      </w:r>
    </w:p>
    <w:p>
      <w:pPr>
        <w:spacing w:lineRule="exact" w:line="600" w:after="0"/>
        <w:ind w:firstLine="420"/>
      </w:pPr>
      <w:r>
        <w:rPr>
          <w:rFonts w:ascii="仿宋_GB2312" w:hAnsi="仿宋_GB2312" w:eastAsia="仿宋_GB2312"/>
          <w:b w:val="0"/>
          <w:sz w:val="32"/>
        </w:rPr>
        <w:t>在资本来源上，集群企业以内生积累与股权融资为主。潍坊设立总规模不低于100亿元的元宇宙产业基金群，首期不低于20亿元，重点投资招引强链补链延链项目；同时争取上级专项财政奖补资金1688万元，多渠道资本共同支撑企业扩张与技术改造，产权结构多元且活跃，适配新兴产业高投入特征。多元产权适配新兴产业高风险特征。基金资本为扩张提供关键杠杆。</w:t>
      </w:r>
    </w:p>
    <w:p>
      <w:pPr>
        <w:spacing w:lineRule="exact" w:line="600" w:after="0"/>
        <w:ind w:firstLine="420"/>
      </w:pPr>
      <w:r>
        <w:rPr>
          <w:rFonts w:ascii="仿宋_GB2312" w:hAnsi="仿宋_GB2312" w:eastAsia="仿宋_GB2312"/>
          <w:b w:val="0"/>
          <w:sz w:val="32"/>
        </w:rPr>
        <w:t>混合所有制改革与产学研合作进一步丰富产权形态。山东大学元宇宙产业研究院整合歌尔产业资源与高校技术优势，形成企业出题、院校答题的协同创新产权安排。总体看，集群产权结构以民营活力为主、国资平台为辅、基金资本赋能，适配新兴产业高风险、高迭代的特征，治理机制较为灵活。多元产权适配新兴产业高风险特征。基金资本为扩张提供关键杠杆。</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歌尔股份是集群无可争议的头部企业，也是全国元宇宙潜力企业榜第4位（列阿里巴巴、爱奇艺、百度之后），是榜单前20位中唯一的普通地级市企业。其VR头显占全球中高端产品80%以上份额、产销量全球第一，微型扬声器、MEMS声学传感器、无线耳机等出货量亦居全球前列，是国内唯一进入全球MEMS前十的中国企业。歌尔的全球份额构成强品牌背书。</w:t>
      </w:r>
    </w:p>
    <w:p>
      <w:pPr>
        <w:spacing w:lineRule="exact" w:line="600" w:after="0"/>
        <w:ind w:firstLine="420"/>
      </w:pPr>
      <w:r>
        <w:rPr>
          <w:rFonts w:ascii="仿宋_GB2312" w:hAnsi="仿宋_GB2312" w:eastAsia="仿宋_GB2312"/>
          <w:b w:val="0"/>
          <w:sz w:val="32"/>
        </w:rPr>
        <w:t>歌尔光学作为骨干企业，建成世界领先12英寸纳米压印生产线，在衍射光波导、Pancake折叠光路、自由曲面等领域持续突破，2025年发布采用表面浮雕刻蚀光栅工艺的AR全彩光波导显示模组。浪潮华光在光电芯片领域提供关键支撑，与歌尔协同构成硬件制造、软件开发的中坚力量，强化集群技术厚度。歌尔的全球份额构成强品牌背书。骨干企业在关键器件上协同支撑。</w:t>
      </w:r>
    </w:p>
    <w:p>
      <w:pPr>
        <w:spacing w:lineRule="exact" w:line="600" w:after="0"/>
        <w:ind w:firstLine="420"/>
      </w:pPr>
      <w:r>
        <w:rPr>
          <w:rFonts w:ascii="仿宋_GB2312" w:hAnsi="仿宋_GB2312" w:eastAsia="仿宋_GB2312"/>
          <w:b w:val="0"/>
          <w:sz w:val="32"/>
        </w:rPr>
        <w:t>在内容与应用端，同心视界、定鼎科技、博尧信息、新科视典等企业在三维建模、数字孪生、行业解决方案等领域各具特色，是未来创新谷的入驻重点。这些企业虽规模不及链主，但在细分赛道具备技术积累，是集群生态多样性的重要来源，未来有望成长为新的单项冠军与小巨人，壮大头部后备。歌尔的全球份额构成强品牌背书。骨干企业在关键器件上协同支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集聚、链条协同的鲜明特征。企业主要集中于元宇宙未来创新谷、联东U谷配套产业园、高新区软件园等专业载体，空间毗邻降低配套与协作成本。以歌尔为圆心，上下游企业在半小时通勤圈内完成供配，形成类似消费电子一小时产业圈的高效集聚形态，物流与信息流循环顺畅。空间毗邻显著降低配套协作成本。人才平台资本高密度汇聚成创新土壤。</w:t>
      </w:r>
    </w:p>
    <w:p>
      <w:pPr>
        <w:spacing w:lineRule="exact" w:line="600" w:after="0"/>
        <w:ind w:firstLine="420"/>
      </w:pPr>
      <w:r>
        <w:rPr>
          <w:rFonts w:ascii="仿宋_GB2312" w:hAnsi="仿宋_GB2312" w:eastAsia="仿宋_GB2312"/>
          <w:b w:val="0"/>
          <w:sz w:val="32"/>
        </w:rPr>
        <w:t>集聚还表现为创新要素的集中导入。潍坊职业学院建成国家级VR协同创新中心，山东信息职业学院打造省虚拟现实实训基地，年培养人才1200余人；山东省虚拟现实重点实验室提供共性技术支撑。人才、平台、资本在园区内高密度汇聚，使集群具备雨林型创新的土壤与自我繁衍能力，创新浓度高于全市平均。空间毗邻显著降低配套协作成本。人才平台资本高密度汇聚成创新土壤。</w:t>
      </w:r>
    </w:p>
    <w:p>
      <w:pPr>
        <w:spacing w:lineRule="exact" w:line="600" w:after="0"/>
        <w:ind w:firstLine="420"/>
      </w:pPr>
      <w:r>
        <w:rPr>
          <w:rFonts w:ascii="仿宋_GB2312" w:hAnsi="仿宋_GB2312" w:eastAsia="仿宋_GB2312"/>
          <w:b w:val="0"/>
          <w:sz w:val="32"/>
        </w:rPr>
        <w:t>从动态看，集群集聚正由硬件制造向内容应用拓展。未来创新谷重点招引上下游内容企业，计划五年聚集100家，推动生产型集聚转向生态型集聚。但企业间知识溢出与联合攻关机制仍不完善，部分配套企业同质化竞争，需在集群治理层面加强分工引导，避免低水平重复集聚，提升集聚质量与网络效率。空间毗邻显著降低配套协作成本。人才平台资本高密度汇聚成创新土壤。</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强度处于全市前列。2024年潍坊全社会研发与高新技术产业持续加码，元宇宙作为先导产业享受专项政策与基金扶持。龙头企业歌尔股份长期保持高研发投入，在交互、显示、终端技术领域累计获专利授权686项（发明专利135项）；区内新材料企业研发占比亦达5%以上，反映集群整体创新投入意愿较强。政策与基金有效撬动企业研发投入。</w:t>
      </w:r>
    </w:p>
    <w:p>
      <w:pPr>
        <w:spacing w:lineRule="exact" w:line="600" w:after="0"/>
        <w:ind w:firstLine="420"/>
      </w:pPr>
      <w:r>
        <w:rPr>
          <w:rFonts w:ascii="仿宋_GB2312" w:hAnsi="仿宋_GB2312" w:eastAsia="仿宋_GB2312"/>
          <w:b w:val="0"/>
          <w:sz w:val="32"/>
        </w:rPr>
        <w:t>政策层面，潍坊出台22条元宇宙专项政策并设立百亿级产业基金，对关键技术攻关与平台建设给予资金支持；对营收超1亿元企业最高奖励500万元，重大项目一事一议。2024年新争取上级专项财政奖补1688万元，多渠道资金有效撬动企业研发投入，缓解新兴产业前期投入大、回收周期长的现实压力。政策与基金有效撬动企业研发投入。研发资源向硬件整机倾斜较为明显。</w:t>
      </w:r>
    </w:p>
    <w:p>
      <w:pPr>
        <w:spacing w:lineRule="exact" w:line="600" w:after="0"/>
        <w:ind w:firstLine="420"/>
      </w:pPr>
      <w:r>
        <w:rPr>
          <w:rFonts w:ascii="仿宋_GB2312" w:hAnsi="仿宋_GB2312" w:eastAsia="仿宋_GB2312"/>
          <w:b w:val="0"/>
          <w:sz w:val="32"/>
        </w:rPr>
        <w:t>需关注的是，除链主外多数中小企业研发投入能力有限，基础研究主要由高校与龙头企业承担。集群研发资源向硬件整机倾斜，软件工具与内容技术投入相对不足。应进一步完善企业为主体、市场为导向、产学研深度融合的投入机制，引导中小企业在细分技术点形成差异化研发优势，提升整体创新效率。政策与基金有效撬动企业研发投入。研发资源向硬件整机倾斜较为明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2024年潍坊元宇宙企业获专利授权量同比增长45%，技术交易额突破50亿元，创新产出呈加速态势。歌尔2个项目荣获中国专利奖并入选国家级制造业单项冠军，在声学、光学、微系统封装等领域形成一批高价值专利。集群在VR头显、图像三维重建等方向达到国际领先或全国领先水平，技术壁垒逐步垒高。高价值专利集中于硬件优势领域。平台能级随加速园入选而提升。</w:t>
      </w:r>
    </w:p>
    <w:p>
      <w:pPr>
        <w:spacing w:lineRule="exact" w:line="600" w:after="0"/>
        <w:ind w:firstLine="420"/>
      </w:pPr>
      <w:r>
        <w:rPr>
          <w:rFonts w:ascii="仿宋_GB2312" w:hAnsi="仿宋_GB2312" w:eastAsia="仿宋_GB2312"/>
          <w:b w:val="0"/>
          <w:sz w:val="32"/>
        </w:rPr>
        <w:t>在标准与平台方面，歌尔发布国家标准3项，参与发起虚拟现实产业联盟并任执行理事长，牵头组建虚拟现实制造业创新中心。山东大学元宇宙产业研究院落地，推动底层技术成果向产业转化。2025年潍坊高新区元宇宙未来产业加速园入选省未来产业加速园名单，创新载体能级进一步提升，平台支撑更趋坚实。高价值专利集中于硬件优势领域。平台能级随加速园入选而提升。</w:t>
      </w:r>
    </w:p>
    <w:p>
      <w:pPr>
        <w:spacing w:lineRule="exact" w:line="600" w:after="0"/>
        <w:ind w:firstLine="420"/>
      </w:pPr>
      <w:r>
        <w:rPr>
          <w:rFonts w:ascii="仿宋_GB2312" w:hAnsi="仿宋_GB2312" w:eastAsia="仿宋_GB2312"/>
          <w:b w:val="0"/>
          <w:sz w:val="32"/>
        </w:rPr>
        <w:t>创新产出结构仍偏硬件。软件著作权、内容IP、行业数据集等软成果数量与质量不及硬件专利，原始创新与颠覆性技术偏少。面向工业元宇宙、数字孪生等应用，需加强跨领域集成创新，推动专利向产品、产品向标准的跃升，提升创新产出的经济转化效率与产业集群的品牌影响力，补齐软成果短板。高价值专利集中于硬件优势领域。平台能级随加速园入选而提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拥有多层次创新平台支撑。国家级层面有虚拟现实制造业创新中心（青岛牵头、潍坊参与）、山东省虚拟现实重点实验室（潍坊）；企业层面有歌尔国家级企业技术中心、博士后科研工作站等。平台体系覆盖基础研究、技术开发、中试放大全链条，创新能力基础扎实，为关键技术攻关提供体系化依托。平台覆盖全链条创新关键环节。校地合作平台补强人才与技术。</w:t>
      </w:r>
    </w:p>
    <w:p>
      <w:pPr>
        <w:spacing w:lineRule="exact" w:line="600" w:after="0"/>
        <w:ind w:firstLine="420"/>
      </w:pPr>
      <w:r>
        <w:rPr>
          <w:rFonts w:ascii="仿宋_GB2312" w:hAnsi="仿宋_GB2312" w:eastAsia="仿宋_GB2312"/>
          <w:b w:val="0"/>
          <w:sz w:val="32"/>
        </w:rPr>
        <w:t>校地合作平台持续补强。山东大学元宇宙产业研究院整合高校顶尖技术与歌尔产业资源；潍坊职业学院国家级VR协同创新中心、山东信息职业学院省虚拟现实实训基地承担人才培养与技术服务，年技术服务收入破3000万元。潍坊软件园、高新区软件园提供行业解决方案孵化空间，平台协同网络日趋完善。平台覆盖全链条创新关键环节。校地合作平台补强人才与技术。</w:t>
      </w:r>
    </w:p>
    <w:p>
      <w:pPr>
        <w:spacing w:lineRule="exact" w:line="600" w:after="0"/>
        <w:ind w:firstLine="420"/>
      </w:pPr>
      <w:r>
        <w:rPr>
          <w:rFonts w:ascii="仿宋_GB2312" w:hAnsi="仿宋_GB2312" w:eastAsia="仿宋_GB2312"/>
          <w:b w:val="0"/>
          <w:sz w:val="32"/>
        </w:rPr>
        <w:t>平台协同仍存在条块分割现象。高校、科研院所与企业平台间数据共享、设备共用机制不够顺畅，部分公共平台服务中小企业的覆盖面有限。应推动组建元宇宙产业创新联合体，建立大型科研仪器开放共享与中试熟化平台，提升平台对中小内容企业、工具企业的可及性，强化杠杆作用。平台覆盖全链条创新关键环节。校地合作平台补强人才与技术。共享机制不畅限制平台可及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出题、院所答题、市场阅卷模式推进。歌尔将光学、声学专利转化为XR整机与模组量产能力；山大歌尔研究院推动数字人、三维引擎等底层技术落地；山东省虚拟现实实训基地年输送人才1.2万名，填补省内30%岗位需求，缓解了转化的人才瓶颈，打通了从实验室到产线的关键通道。场景开放加速成果迭代验证。人才输送缓解转化瓶颈。</w:t>
      </w:r>
    </w:p>
    <w:p>
      <w:pPr>
        <w:spacing w:lineRule="exact" w:line="600" w:after="0"/>
        <w:ind w:firstLine="420"/>
      </w:pPr>
      <w:r>
        <w:rPr>
          <w:rFonts w:ascii="仿宋_GB2312" w:hAnsi="仿宋_GB2312" w:eastAsia="仿宋_GB2312"/>
          <w:b w:val="0"/>
          <w:sz w:val="32"/>
        </w:rPr>
        <w:t>场景开放是转化加速器。高新区通过揭榜挂帅开放工业、医疗等场景，2024年落地元宇宙加应急管理等多个标杆应用，入驻企业优先参与智慧城市项目。政策场景包降低了新技术入市门槛，促进实验室成果在真实环境中迭代验证，形成研发、试点、推广的转化闭环，缩短商业化周期。场景开放加速成果迭代验证。人才输送缓解转化瓶颈。首购机制可畅通转化最后一公里。</w:t>
      </w:r>
    </w:p>
    <w:p>
      <w:pPr>
        <w:spacing w:lineRule="exact" w:line="600" w:after="0"/>
        <w:ind w:firstLine="420"/>
      </w:pPr>
      <w:r>
        <w:rPr>
          <w:rFonts w:ascii="仿宋_GB2312" w:hAnsi="仿宋_GB2312" w:eastAsia="仿宋_GB2312"/>
          <w:b w:val="0"/>
          <w:sz w:val="32"/>
        </w:rPr>
        <w:t>转化堵点在于中小内容企业缺乏中试与首购市场。硬件技术依托链主产线易转化，而软件工具、行业解决方案因标准缺失、采购谨慎而转化缓慢。应建立首台套、首版次保险补偿与政府采购首购机制，支持本土元宇宙解决方案在本地工业、文旅、教育场景先行先试，畅通最后一公里。场景开放加速成果迭代验证。人才输送缓解转化瓶颈。首购机制可畅通转化最后一公里。</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以高素质技术人才为主。潍坊是全国职业教育创新发展试验区，拥有5所本科学校、60所职业院校，近一半职业院校开设元宇宙相关专业，每年输送大量VR、三维建模、软件开发人才。山东省虚拟现实实训基地累计输送1.2万名，潍坊职业学院年培训超1200人，人才池持续充盈，保障有力。职教基础保障人才池持续充盈。顶尖复合人才仍依赖外部引进。</w:t>
      </w:r>
    </w:p>
    <w:p>
      <w:pPr>
        <w:spacing w:lineRule="exact" w:line="600" w:after="0"/>
        <w:ind w:firstLine="420"/>
      </w:pPr>
      <w:r>
        <w:rPr>
          <w:rFonts w:ascii="仿宋_GB2312" w:hAnsi="仿宋_GB2312" w:eastAsia="仿宋_GB2312"/>
          <w:b w:val="0"/>
          <w:sz w:val="32"/>
        </w:rPr>
        <w:t>高层次人才方面，高新区实施高新英才工程，集聚省级以上重点人才，歌尔等链主企业引进大批光学、声学、微电子领域研发骨干。但复合型元宇宙架构师、底层引擎开发等顶尖人才仍紧缺，需依托山大歌尔研究院与双百行动深化校地合作，以订单式培养弥补高端人才缺口，优化人才结构。职教基础保障人才池持续充盈。顶尖复合人才仍依赖外部引进。成本优势需与留住人才相平衡。</w:t>
      </w:r>
    </w:p>
    <w:p>
      <w:pPr>
        <w:spacing w:lineRule="exact" w:line="600" w:after="0"/>
        <w:ind w:firstLine="420"/>
      </w:pPr>
      <w:r>
        <w:rPr>
          <w:rFonts w:ascii="仿宋_GB2312" w:hAnsi="仿宋_GB2312" w:eastAsia="仿宋_GB2312"/>
          <w:b w:val="0"/>
          <w:sz w:val="32"/>
        </w:rPr>
        <w:t>劳动力成本总体可控但呈上升趋势。相比一线城市，潍坊人力成本具备优势，有利于硬件制造环节保持竞争力；但内容创作、算法等岗位薪资向一线靠拢，企业用工成本压力增大。应完善人才安居与股权激励政策，平衡成本与吸引力，防止核心人才外流，稳固集群人力资本基本盘与长期竞争力。职教基础保障人才池持续充盈。顶尖复合人才仍依赖外部引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多元活跃。潍坊设立总规模不低于100亿元元宇宙产业基金群，首期不低于20亿元，重点投资招引强链补链延链企业项目；同时争取上级专项财政奖补1688万元。2024年潍坊固定资产投资同比增长4.1%，高于全国全省，反映资本对新兴产业前景的信心，资金活水持续注入。多元资本提振新兴产业信心。中小内容企业融资约束仍突出。</w:t>
      </w:r>
    </w:p>
    <w:p>
      <w:pPr>
        <w:spacing w:lineRule="exact" w:line="600" w:after="0"/>
        <w:ind w:firstLine="420"/>
      </w:pPr>
      <w:r>
        <w:rPr>
          <w:rFonts w:ascii="仿宋_GB2312" w:hAnsi="仿宋_GB2312" w:eastAsia="仿宋_GB2312"/>
          <w:b w:val="0"/>
          <w:sz w:val="32"/>
        </w:rPr>
        <w:t>直接融资与信贷同步发力。歌尔股份等龙头企业通过资本市场支撑扩张；对营收超1亿元企业最高500万元奖励、重大项目一事一议等财政杠杆，引导社会资本跟投。高新区潍高云厅政务虚拟客服优化投融资服务，但中小内容企业仍面临轻资产、难抵押的融资约束，需加快发展知识产权质押与风险投资。多元资本提振新兴产业信心。中小内容企业融资约束仍突出。</w:t>
      </w:r>
    </w:p>
    <w:p>
      <w:pPr>
        <w:spacing w:lineRule="exact" w:line="600" w:after="0"/>
        <w:ind w:firstLine="420"/>
      </w:pPr>
      <w:r>
        <w:rPr>
          <w:rFonts w:ascii="仿宋_GB2312" w:hAnsi="仿宋_GB2312" w:eastAsia="仿宋_GB2312"/>
          <w:b w:val="0"/>
          <w:sz w:val="32"/>
        </w:rPr>
        <w:t>需防范资本沉淀与低效投放。元宇宙部分赛道概念热、回报慢，应避免基金集中于硬件重复建设。应建立差异化投资指引，向软件工具、内容生态、工业元宇宙等高附加值环节倾斜，完善投早、投小、投硬科技机制，提升资本要素对集群高质量发展的配置效率，引导理性投资。多元资本提振新兴产业信心。中小内容企业融资约束仍突出。差异化投向可提升配置效率。</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载体充足且集约。元宇宙未来创新谷建筑面积5.38万平方米，联东U谷配套产业园占地234亩、总投资15亿元，坊子元宇宙配套产业园规划3000余亩。高新区通过班子成员包靠、全生命周期服务机制推动工业用地供应增长32.6%，新招引26个配套项目，土地保障有力，空间承载充裕。载体集约支撑集群空间需求。低碳属性契合能耗双控要求。</w:t>
      </w:r>
    </w:p>
    <w:p>
      <w:pPr>
        <w:spacing w:lineRule="exact" w:line="600" w:after="0"/>
        <w:ind w:firstLine="420"/>
      </w:pPr>
      <w:r>
        <w:rPr>
          <w:rFonts w:ascii="仿宋_GB2312" w:hAnsi="仿宋_GB2312" w:eastAsia="仿宋_GB2312"/>
          <w:b w:val="0"/>
          <w:sz w:val="32"/>
        </w:rPr>
        <w:t>作为数字型、轻资产型产业，元宇宙制造环节单位产值能耗相对较低，符合绿色低碳导向。天瑞重工磁悬浮节能技术入选国家绿色技术推广目录，相关产品入选好品山东。集群推进绿色低碳发展，按时完成十四五万元GDP能耗下降任务，为能耗双控背景下扩张提供空间，绿色底色鲜明。载体集约支撑集群空间需求。低碳属性契合能耗双控要求。腾笼换鸟提升亩均产出浓度。</w:t>
      </w:r>
    </w:p>
    <w:p>
      <w:pPr>
        <w:spacing w:lineRule="exact" w:line="600" w:after="0"/>
        <w:ind w:firstLine="420"/>
      </w:pPr>
      <w:r>
        <w:rPr>
          <w:rFonts w:ascii="仿宋_GB2312" w:hAnsi="仿宋_GB2312" w:eastAsia="仿宋_GB2312"/>
          <w:b w:val="0"/>
          <w:sz w:val="32"/>
        </w:rPr>
        <w:t>园区扩区与低效用地盘活并举。潍坊推动滨海、羊口、侯镇化工园区一体化经验可资借鉴，元宇宙园区亦通过腾笼换鸟提升投资强度与产出浓度。未来应严控亩均产出门槛，引导企业上楼集聚，避免铺摊子式用地，以集约用地支撑集群可持续扩张，提升土地集约利用水平。载体集约支撑集群空间需求。低碳属性契合能耗双控要求。腾笼换鸟提升亩均产出浓度。</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电子化学品、光学材料、半导体衬底与金属结构件为主，本地配套基础较好。潍坊在电声器件、智能穿戴、LED照明、半导体激光器等领域长期深耕，光电芯片研究院、华光光电提供光电材料支撑；声学传感器、光学传感器、集成传感器等本地产品线为硬件制造提供近地原料，配套便捷。本地电子材料基础提供近地配套。高端原材料外依需向上游延伸。</w:t>
      </w:r>
    </w:p>
    <w:p>
      <w:pPr>
        <w:spacing w:lineRule="exact" w:line="600" w:after="0"/>
        <w:ind w:firstLine="420"/>
      </w:pPr>
      <w:r>
        <w:rPr>
          <w:rFonts w:ascii="仿宋_GB2312" w:hAnsi="仿宋_GB2312" w:eastAsia="仿宋_GB2312"/>
          <w:b w:val="0"/>
          <w:sz w:val="32"/>
        </w:rPr>
        <w:t>高端原材料对外依赖仍存。高性能GPU、专用显示驱动芯片、高端MEMS晶圆等需外部采购，本地以封测与集成见长；部分精密化工材料依赖外地供应。集群应借力潍坊化工与新材料基础，向上游关键材料延伸，提升原材料自主保障水平，降低外部断供风险，增强供应链安全韧性。本地电子材料基础提供近地配套。高端原材料外依需向上游延伸。绿色材料开辟原料高值化新路。</w:t>
      </w:r>
    </w:p>
    <w:p>
      <w:pPr>
        <w:spacing w:lineRule="exact" w:line="600" w:after="0"/>
        <w:ind w:firstLine="420"/>
      </w:pPr>
      <w:r>
        <w:rPr>
          <w:rFonts w:ascii="仿宋_GB2312" w:hAnsi="仿宋_GB2312" w:eastAsia="仿宋_GB2312"/>
          <w:b w:val="0"/>
          <w:sz w:val="32"/>
        </w:rPr>
        <w:t>绿色与循环原材料成为新方向。随着AR/VR设备轻量化、可回收要求提升，生物基与再生材料应用潜力扩大。集群可依托潍坊生物基新材料产业基础，探索可持续材料在终端产品中的应用，既契合双碳目标，也开辟原材料本地化与高值化新路径，培育绿色增长点在原料端落地。本地电子材料基础提供近地配套。高端原材料外依需向上游延伸。绿色材料开辟原料高值化新路。</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大循环为主体。歌尔VR/AR整机与声学模组广泛配套国内头部消费电子与互联网企业，受益于国内XR设备渗透率提升。潍坊提出到2026年元宇宙产业规模3500亿元，省内一核引领、双擎驱动格局为本地产品提供广阔内需市场，工业、教育、文旅等场景释放持续而多元的需求。内需场景释放持续多元需求。应用开放加速国内需求放量。</w:t>
      </w:r>
    </w:p>
    <w:p>
      <w:pPr>
        <w:spacing w:lineRule="exact" w:line="600" w:after="0"/>
        <w:ind w:firstLine="420"/>
      </w:pPr>
      <w:r>
        <w:rPr>
          <w:rFonts w:ascii="仿宋_GB2312" w:hAnsi="仿宋_GB2312" w:eastAsia="仿宋_GB2312"/>
          <w:b w:val="0"/>
          <w:sz w:val="32"/>
        </w:rPr>
        <w:t>国内应用场景加速打开。高新区落地元宇宙加应急管理等多个标杆应用，建成元宇宙体验中心；教育领域未来教育体验中心开展VR研学；政策支持开放工业、医疗场景供企业试点。随着工业互联网与AI大模型耦合，制造、城市管理等领域的元宇宙需求将持续放量，国内市场空间广阔，增长韧性较强。内需场景释放持续多元需求。应用开放加速国内需求放量。</w:t>
      </w:r>
    </w:p>
    <w:p>
      <w:pPr>
        <w:spacing w:lineRule="exact" w:line="600" w:after="0"/>
        <w:ind w:firstLine="420"/>
      </w:pPr>
      <w:r>
        <w:rPr>
          <w:rFonts w:ascii="仿宋_GB2312" w:hAnsi="仿宋_GB2312" w:eastAsia="仿宋_GB2312"/>
          <w:b w:val="0"/>
          <w:sz w:val="32"/>
        </w:rPr>
        <w:t>区域市场存在同质竞争隐忧。青岛、济南、潍坊均在元宇宙布局，省内需求若不能有效分工，可能出现低水平争夺。集群应立足整机制造引擎定位，错位承接国内品牌代工与整机交付订单，避免与研发型城市正面竞争，以成本与交付能力巩固国内市场份额，实现差异化胜出。内需场景释放持续多元需求。应用开放加速国内需求放量。错位定位可巩固国内份额。</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龙头产品深度嵌入全球供应链。歌尔VR头显产销量全球第一，微型扬声器、MEMS传感器、无线耳机等出货量全球领先，产品直接进入国际头部品牌供应链，出口规模可观。2024年前三季度歌尔营收696亿元中相当部分来自海外客户，是集群外贸基本盘的核心支撑，国际依存度较高。硬件整机构成外贸基本盘。出口结构偏硬件需多元拓展。</w:t>
      </w:r>
    </w:p>
    <w:p>
      <w:pPr>
        <w:spacing w:lineRule="exact" w:line="600" w:after="0"/>
        <w:ind w:firstLine="420"/>
      </w:pPr>
      <w:r>
        <w:rPr>
          <w:rFonts w:ascii="仿宋_GB2312" w:hAnsi="仿宋_GB2312" w:eastAsia="仿宋_GB2312"/>
          <w:b w:val="0"/>
          <w:sz w:val="32"/>
        </w:rPr>
        <w:t>出口结构以硬件整机与精密零组件为主，软件与内容出海较少。受国际经贸环境与地缘因素影响，消费电子需求波动会直接传导至集群出口。需拓展一带一路与新兴市场，分散单一客户与区域风险，同时培育自主品牌出海，提升出口附加值与议价能力，降低对代工模式的依赖，优化出口结构。硬件整机构成外贸基本盘。出口结构偏硬件需多元拓展。合规体系对冲外部壁垒冲击。</w:t>
      </w:r>
    </w:p>
    <w:p>
      <w:pPr>
        <w:spacing w:lineRule="exact" w:line="600" w:after="0"/>
        <w:ind w:firstLine="420"/>
      </w:pPr>
      <w:r>
        <w:rPr>
          <w:rFonts w:ascii="仿宋_GB2312" w:hAnsi="仿宋_GB2312" w:eastAsia="仿宋_GB2312"/>
          <w:b w:val="0"/>
          <w:sz w:val="32"/>
        </w:rPr>
        <w:t>贸易壁垒与合规成本上升。欧美对电子产品碳足迹、数据安全等要求趋严，增加出海门槛。集群企业应加快国际认证与绿色制造体系建设，利用潍坊综合保税区功能优化通关与保税加工，稳住并扩大元宇宙硬件产品的全球市场份额，以合规能力对冲外部壁垒冲击。硬件整机构成外贸基本盘。出口结构偏硬件需多元拓展。合规体系对冲外部壁垒冲击。</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以歌尔为核心品牌名片。歌尔跻身胡润中国元宇宙潜力企业全国第4，是潍坊区别于其他地级市的标志性企业；其XR链主地位与全球份额构成强品牌背书。潍坊整体以元宇宙技术创新与产业之都城市品牌对外传播，提升集群在全国乃至全球的识别度与集聚引力，品牌势能持续累积。歌尔品牌提升集群识别度。区域公共品牌矩阵尚待构建。国际话语权仍落后于制造声誉。</w:t>
      </w:r>
    </w:p>
    <w:p>
      <w:pPr>
        <w:spacing w:lineRule="exact" w:line="600" w:after="0"/>
        <w:ind w:firstLine="420"/>
      </w:pPr>
      <w:r>
        <w:rPr>
          <w:rFonts w:ascii="仿宋_GB2312" w:hAnsi="仿宋_GB2312" w:eastAsia="仿宋_GB2312"/>
          <w:b w:val="0"/>
          <w:sz w:val="32"/>
        </w:rPr>
        <w:t>区域公共品牌建设起步。山东省将潍坊定位为元宇宙整机制造产业引擎，潍坊样本获媒体广泛报道；高新区元宇宙未来产业加速园入选省未来产业加速园，强化集群标识。但集群级公共品牌、内容IP与平台品牌偏弱，需打造潍坊XR等区域品牌矩阵，提升软实力与招商吸引力，补齐品牌短板。歌尔品牌提升集群识别度。区域公共品牌矩阵尚待构建。国际话语权仍落后于制造声誉。</w:t>
      </w:r>
    </w:p>
    <w:p>
      <w:pPr>
        <w:spacing w:lineRule="exact" w:line="600" w:after="0"/>
        <w:ind w:firstLine="420"/>
      </w:pPr>
      <w:r>
        <w:rPr>
          <w:rFonts w:ascii="仿宋_GB2312" w:hAnsi="仿宋_GB2312" w:eastAsia="仿宋_GB2312"/>
          <w:b w:val="0"/>
          <w:sz w:val="32"/>
        </w:rPr>
        <w:t>品牌国际化任重道远。相比硬件制造声誉，集群在软件、内容、标准领域的国际话语权不足。应支持龙头企业主导或参与国际标准制定，鼓励内容企业在海外平台发布原生作品，以技术、品牌双输出提升全球影响力，避免长期停留于隐形代工的品牌位阶，迈向价值链高端。歌尔品牌提升集群识别度。区域公共品牌矩阵尚待构建。国际话语权仍落后于制造声誉。</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消费娱乐向产业赋能迁移。早期元宇宙需求集中于游戏、社交，当前工业元宇宙、数字孪生工厂、教育培训、医疗健康等B端需求快速上升。工信部三年行动计划明确加快工业元宇宙布局，山东提出打造数字孪生工厂与未来工厂，为集群从C端向B端拓展打开新空间，需求结构升级。B端需求成为新增长引擎。技术融合催生高端化偏好。紧盯刚需可提升抗风险能力。</w:t>
      </w:r>
    </w:p>
    <w:p>
      <w:pPr>
        <w:spacing w:lineRule="exact" w:line="600" w:after="0"/>
        <w:ind w:firstLine="420"/>
      </w:pPr>
      <w:r>
        <w:rPr>
          <w:rFonts w:ascii="仿宋_GB2312" w:hAnsi="仿宋_GB2312" w:eastAsia="仿宋_GB2312"/>
          <w:b w:val="0"/>
          <w:sz w:val="32"/>
        </w:rPr>
        <w:t>技术融合催生新需求。元宇宙与AI大模型、工业互联网深度耦合，推动场景赋能时代到来；轻量化AR眼镜、AI智能眼镜等新品频出，刺激换机与内容消费。需求端对低功耗、高沉浸、强交互产品的偏好，倒逼集群在光学、微系统封装等环节持续迭代，需求结构更趋高端化、智能化。B端需求成为新增长引擎。技术融合催生高端化偏好。紧盯刚需可提升抗风险能力。</w:t>
      </w:r>
    </w:p>
    <w:p>
      <w:pPr>
        <w:spacing w:lineRule="exact" w:line="600" w:after="0"/>
        <w:ind w:firstLine="420"/>
      </w:pPr>
      <w:r>
        <w:rPr>
          <w:rFonts w:ascii="仿宋_GB2312" w:hAnsi="仿宋_GB2312" w:eastAsia="仿宋_GB2312"/>
          <w:b w:val="0"/>
          <w:sz w:val="32"/>
        </w:rPr>
        <w:t>需求不确定性仍存。部分消费级元宇宙应用商业化不及预期，行业经历调整期；企业需平衡前瞻投入与当期回报。集群应紧盯工业、城市治理等刚需场景，以真实需求牵引研发与产能，避免被概念泡沫裹挟，提升需求端变化下的抗风险与快速响应能力，保持发展定力。B端需求成为新增长引擎。技术融合催生高端化偏好。紧盯刚需可提升抗风险能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元宇宙集群竞争加剧。山东构建一核引领、双擎驱动、多点支撑，青岛主攻核心研发创新、济南主攻数字工具、潍坊主攻整机制造，定位虽错位但仍存在资源争夺。国内如上海、北京、深圳等地在资本、人才、场景上优势明显，对潍坊形成虹吸压力，区域竞争呈现多层次、高强度特征。省内定位错位仍存资源争夺。先发链主是核心护城河。系统竞争力对冲单点劣势。</w:t>
      </w:r>
    </w:p>
    <w:p>
      <w:pPr>
        <w:spacing w:lineRule="exact" w:line="600" w:after="0"/>
        <w:ind w:firstLine="420"/>
      </w:pPr>
      <w:r>
        <w:rPr>
          <w:rFonts w:ascii="仿宋_GB2312" w:hAnsi="仿宋_GB2312" w:eastAsia="仿宋_GB2312"/>
          <w:b w:val="0"/>
          <w:sz w:val="32"/>
        </w:rPr>
        <w:t>同类制造基地竞争突出。歌尔产能虽居全球前列，但长三角、成渝等地也在布局XR整机与零部件基地，在土地、用工、政策上展开招商竞赛。潍坊凭借先发链主与完整配套暂居优势，但若创新与场景跟不上，易被后来者追赶。集群需在技术壁垒与生态粘性上构筑护城河，巩固先发优势。省内定位错位仍存资源争夺。先发链主是核心护城河。系统竞争力对冲单点劣势。</w:t>
      </w:r>
    </w:p>
    <w:p>
      <w:pPr>
        <w:spacing w:lineRule="exact" w:line="600" w:after="0"/>
        <w:ind w:firstLine="420"/>
      </w:pPr>
      <w:r>
        <w:rPr>
          <w:rFonts w:ascii="仿宋_GB2312" w:hAnsi="仿宋_GB2312" w:eastAsia="仿宋_GB2312"/>
          <w:b w:val="0"/>
          <w:sz w:val="32"/>
        </w:rPr>
        <w:t>需以差异化突围应对竞争。集群应坚守整机制造引擎定位，强化光学、声学、微系统封装等不可替代环节，深化与青岛研发、济南工具的协同而非内耗。通过政策包、基金群、场景开放放大生态优势，以系统竞争力对冲单点资源劣势，在区域竞合中稳固特色地位，实现错位共赢。省内定位错位仍存资源争夺。先发链主是核心护城河。系统竞争力对冲单点劣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问题首在软硬失衡。集群硬件强、软件弱，底层引擎与内容生态本土供给不足，价值重心偏低。多数中小企业营收规模小、研发能力弱，腰部企业断层，生态多样性有余而高峰不足。创新资源向链主集中，中小企业获取平台与场景的机会不均，结构优化任务较重。软硬失衡是结构核心矛盾。协同深度不足限制网络效率。人才错配拖累创造能力。</w:t>
      </w:r>
    </w:p>
    <w:p>
      <w:pPr>
        <w:spacing w:lineRule="exact" w:line="600" w:after="0"/>
        <w:ind w:firstLine="420"/>
      </w:pPr>
      <w:r>
        <w:rPr>
          <w:rFonts w:ascii="仿宋_GB2312" w:hAnsi="仿宋_GB2312" w:eastAsia="仿宋_GB2312"/>
          <w:b w:val="0"/>
          <w:sz w:val="32"/>
        </w:rPr>
        <w:t>其次是企业协同深度不够。链主与配套企业多为接单、供货线性关系，联合攻关、数据共享、标准共定等深层协作偏少；部分配套企业同质化竞争，知识溢出受限。集群治理机制尚不健全，缺乏常态化产学研对接与供需匹配平台，制约了整体网络效率提升与协同创新能力的释放。软硬失衡是结构核心矛盾。协同深度不足限制网络效率。人才错配拖累创造能力。</w:t>
      </w:r>
    </w:p>
    <w:p>
      <w:pPr>
        <w:spacing w:lineRule="exact" w:line="600" w:after="0"/>
        <w:ind w:firstLine="420"/>
      </w:pPr>
      <w:r>
        <w:rPr>
          <w:rFonts w:ascii="仿宋_GB2312" w:hAnsi="仿宋_GB2312" w:eastAsia="仿宋_GB2312"/>
          <w:b w:val="0"/>
          <w:sz w:val="32"/>
        </w:rPr>
        <w:t>再次是人才结构错配。硬件制造人才充裕，但底层算法、内容创作、跨界架构等高端复合人才紧缺，且流向一线城市压力较大。职业教育规模大但层次待提升，难以满足研发型岗位需求。内部问题叠加，使集群在从制造向创造升级中面临能力短板，亟需系统破解。软硬失衡是结构核心矛盾。协同深度不足限制网络效率。人才错配拖累创造能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技术迭代与需求波动。元宇宙仍处技术导入期，AR/VR路线、交互范式尚未定型，若主流技术路线切换，既有产能面临沉没风险；消费级需求调整已使行业经历波动，出口订单受国际经贸环境影响明显，集群需保持技术敏感与产能弹性，增强抗周期能力。技术路线未定放大沉没风险。供应链外依需建多源机制。稳健节奏护航穿越周期。</w:t>
      </w:r>
    </w:p>
    <w:p>
      <w:pPr>
        <w:spacing w:lineRule="exact" w:line="600" w:after="0"/>
        <w:ind w:firstLine="420"/>
      </w:pPr>
      <w:r>
        <w:rPr>
          <w:rFonts w:ascii="仿宋_GB2312" w:hAnsi="仿宋_GB2312" w:eastAsia="仿宋_GB2312"/>
          <w:b w:val="0"/>
          <w:sz w:val="32"/>
        </w:rPr>
        <w:t>其次是供应链与贸易壁垒风险。高端GPU、显示驱动等对外依存，地缘冲突与出口管制可能阻断供应；欧美碳足迹、数据合规要求抬高出海成本。原材料与设备若受限，将冲击整机交付。集群应建立关键物料储备与多源采购机制，加快国产替代与自主可控，筑牢安全底线。技术路线未定放大沉没风险。供应链外依需建多源机制。稳健节奏护航穿越周期。</w:t>
      </w:r>
    </w:p>
    <w:p>
      <w:pPr>
        <w:spacing w:lineRule="exact" w:line="600" w:after="0"/>
        <w:ind w:firstLine="420"/>
      </w:pPr>
      <w:r>
        <w:rPr>
          <w:rFonts w:ascii="仿宋_GB2312" w:hAnsi="仿宋_GB2312" w:eastAsia="仿宋_GB2312"/>
          <w:b w:val="0"/>
          <w:sz w:val="32"/>
        </w:rPr>
        <w:t>再次是政策与资本退潮风险。元宇宙曾出现投资过热，若概念降温、基金收缩，轻资产内容企业首当其冲。应坚持场景真实、技术扎实导向，避免盲目铺摊子；以稳健的财政与产业基金节奏，护航集群穿越周期，实现从政策驱动向市场驱动的平稳过渡，行稳致远。技术路线未定放大沉没风险。供应链外依需建多源机制。稳健节奏护航穿越周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工信部等五部门印发《元宇宙产业创新发展三年行动计划（2023—2025年）》，提出培育生态型企业与专精特新中小企业、打造集聚区，并加快工业元宇宙布局。山东出台《加快元宇宙产业创新发展的指导意见》，提出到2025年产业规模达1500亿元、培育100家特色优势企业、打造100个应用场景。国家三年行动明确工业元宇宙。</w:t>
      </w:r>
    </w:p>
    <w:p>
      <w:pPr>
        <w:spacing w:lineRule="exact" w:line="600" w:after="0"/>
        <w:ind w:firstLine="420"/>
      </w:pPr>
      <w:r>
        <w:rPr>
          <w:rFonts w:ascii="仿宋_GB2312" w:hAnsi="仿宋_GB2312" w:eastAsia="仿宋_GB2312"/>
          <w:b w:val="0"/>
          <w:sz w:val="32"/>
        </w:rPr>
        <w:t>省级明确做强青岛核心研发、做优济南数字工具和潍坊整机制造产业引擎的一核引领、双擎驱动、多点支撑格局，支持潍坊元宇宙未来创新谷等特色园区，成立省元宇宙产业创新发展联盟。顶层政策为集群确立了整机制造引擎的功能坐标与向上争取资源的通道，战略定位清晰。国家三年行动明确工业元宇宙。省级双擎定位锚定功能坐标。市级规划提供制度保障。</w:t>
      </w:r>
    </w:p>
    <w:p>
      <w:pPr>
        <w:spacing w:lineRule="exact" w:line="600" w:after="0"/>
        <w:ind w:firstLine="420"/>
      </w:pPr>
      <w:r>
        <w:rPr>
          <w:rFonts w:ascii="仿宋_GB2312" w:hAnsi="仿宋_GB2312" w:eastAsia="仿宋_GB2312"/>
          <w:b w:val="0"/>
          <w:sz w:val="32"/>
        </w:rPr>
        <w:t>潍坊市级出台《打造元宇宙技术创新与产业之都行动计划（2023—2026年）》及《关于加快推动元宇宙产业发展的若干政策》，编制《潍坊市元宇宙产业发展规划（2024—2033年）》及实施细则。市级顶层政策体系完整、周期清晰，为集群提供从规划到落地的制度保障，政策连续性强。国家三年行动明确工业元宇宙。省级双擎定位锚定功能坐标。</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潍坊高新区与市级协同出台22条专项政策，设立总规模不低于100亿元元宇宙产业基金群（首期不低于20亿元），对营收超1亿元企业最高奖励500万元，重大项目一事一议。2024年新争取上级专项财政奖补1688万元，以政策包、基金群、场景开放构建产业生态，扶持力度在省内领先。百亿基金加场景包构建生态。场景开放实现造血式扶持。</w:t>
      </w:r>
    </w:p>
    <w:p>
      <w:pPr>
        <w:spacing w:lineRule="exact" w:line="600" w:after="0"/>
        <w:ind w:firstLine="420"/>
      </w:pPr>
      <w:r>
        <w:rPr>
          <w:rFonts w:ascii="仿宋_GB2312" w:hAnsi="仿宋_GB2312" w:eastAsia="仿宋_GB2312"/>
          <w:b w:val="0"/>
          <w:sz w:val="32"/>
        </w:rPr>
        <w:t>场景扶持独具特色。通过揭榜挂帅开放工业、医疗、城市管理等场景，2024年落地元宇宙加应急管理等标杆应用，入驻企业优先参与智慧城市项目，降低新技术入市门槛。政策从输血转向造血，以真实需求牵引企业成长，形成可持续扶持机制，激发市场主体活力。百亿基金加场景包构建生态。场景开放实现造血式扶持。政策触达率仍可进一步提升。</w:t>
      </w:r>
    </w:p>
    <w:p>
      <w:pPr>
        <w:spacing w:lineRule="exact" w:line="600" w:after="0"/>
        <w:ind w:firstLine="420"/>
      </w:pPr>
      <w:r>
        <w:rPr>
          <w:rFonts w:ascii="仿宋_GB2312" w:hAnsi="仿宋_GB2312" w:eastAsia="仿宋_GB2312"/>
          <w:b w:val="0"/>
          <w:sz w:val="32"/>
        </w:rPr>
        <w:t>人才与空间扶持并行。实施高新英才工程与订单式培养，山大歌尔研究院整合高校资源；工业用地供应增长32.6%，新招引26个配套项目。但政策兑现效率与中小企业触达率仍可提升，需简化申报流程、扩大政策知晓面，让更多中小内容企业享受到要素与资金支持，普惠施策。百亿基金加场景包构建生态。场景开放实现造血式扶持。政策触达率仍可进一步提升。</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专业园区与平台为主。元宇宙未来创新谷、联东U谷配套产业园、高新区软件园提供标准化厂房与孵化空间；山东省虚拟现实重点实验室、山大歌尔研究院、VR协同创新中心提供共性技术；山东省虚拟现实实训基地、职业学院保障人才供给，配套体系较为完备，支撑有力。园区平台构成完备配套体系。虚拟客服提升营商便利度。中小企公共服务短板需补建。</w:t>
      </w:r>
    </w:p>
    <w:p>
      <w:pPr>
        <w:spacing w:lineRule="exact" w:line="600" w:after="0"/>
        <w:ind w:firstLine="420"/>
      </w:pPr>
      <w:r>
        <w:rPr>
          <w:rFonts w:ascii="仿宋_GB2312" w:hAnsi="仿宋_GB2312" w:eastAsia="仿宋_GB2312"/>
          <w:b w:val="0"/>
          <w:sz w:val="32"/>
        </w:rPr>
        <w:t>政务服务持续优化。高新区建成全省首家政务虚拟客服潍高云厅，服务人才做法入选省首批高效办成一件事优秀案例；出台全省首个产业链党建工作指引，以党建引领链上企业协同。全生命周期服务机制推动项目当年签约、当年投产，营商便利度显著提升，企业获得感增强。园区平台构成完备配套体系。虚拟客服提升营商便利度。中小企公共服务短板需补建。</w:t>
      </w:r>
    </w:p>
    <w:p>
      <w:pPr>
        <w:spacing w:lineRule="exact" w:line="600" w:after="0"/>
        <w:ind w:firstLine="420"/>
      </w:pPr>
      <w:r>
        <w:rPr>
          <w:rFonts w:ascii="仿宋_GB2312" w:hAnsi="仿宋_GB2312" w:eastAsia="仿宋_GB2312"/>
          <w:b w:val="0"/>
          <w:sz w:val="32"/>
        </w:rPr>
        <w:t>配套短板在中小企公共服务。面向内容企业的中试熟化、首版次测试、数据标注等公共平台不足；检测认证、知识产权、出海合规等专业服务供给有限。应补建面向元宇宙内容工具的公共技术服务平台，完善算力、数据、场景新型基础设施，缩小大小企业服务鸿沟，提升公共品供给。园区平台构成完备配套体系。虚拟客服提升营商便利度。中小企公共服务短板需补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作用凸显。山东省元宇宙产业创新发展联盟整合龙头企业、科研院所与社会组织，推动产业链协同与标准布局；潍坊市元宇宙产业联盟已揭牌成立，成为本地企业对接省级资源、开展联合攻关的桥梁，提升了集群组织化水平与协同效率。联盟提升集群组织化水平。纽带功能促进大中小企业融通。协会可承担预警共育职能。</w:t>
      </w:r>
    </w:p>
    <w:p>
      <w:pPr>
        <w:spacing w:lineRule="exact" w:line="600" w:after="0"/>
        <w:ind w:firstLine="420"/>
      </w:pPr>
      <w:r>
        <w:rPr>
          <w:rFonts w:ascii="仿宋_GB2312" w:hAnsi="仿宋_GB2312" w:eastAsia="仿宋_GB2312"/>
          <w:b w:val="0"/>
          <w:sz w:val="32"/>
        </w:rPr>
        <w:t>联盟在供需对接与场景开放中发挥纽带功能。通过组织企业参与揭榜挂帅、展会与产学研对接，促进大中小企业融通；协助制定行业术语与接口标准，减少配套摩擦。但联盟偏重龙头主导，中小会员话语权有限，需完善治理结构，让配套企业更平等地参与规则制定与资源共享，增强代表性。联盟提升集群组织化水平。纽带功能促进大中小企业融通。协会可承担预警共育职能。</w:t>
      </w:r>
    </w:p>
    <w:p>
      <w:pPr>
        <w:spacing w:lineRule="exact" w:line="600" w:after="0"/>
        <w:ind w:firstLine="420"/>
      </w:pPr>
      <w:r>
        <w:rPr>
          <w:rFonts w:ascii="仿宋_GB2312" w:hAnsi="仿宋_GB2312" w:eastAsia="仿宋_GB2312"/>
          <w:b w:val="0"/>
          <w:sz w:val="32"/>
        </w:rPr>
        <w:t>协会还应承担人才共育与风险预警职能。可依托联盟建立元宇宙人才库与实训共享机制，联合发布技术路线与需求预警，引导企业错峰布局。借鉴潍坊五链融合经验，推动协会在产业链、人才链、创新链、教育链、金融链协同中扮演更积极的撮合角色，释放组织效能。联盟提升集群组织化水平。纽带功能促进大中小企业融通。协会可承担预警共育职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区域经济的拉动效应显著。高新区2024年GDP达720.7亿元、增长6.3%，规上工业增加值增10.0%，元宇宙作为先导产业贡献突出。歌尔前三季度营收696亿元、净利增162%，带动上下游配套产值。集群加速从单点突破走向系统繁荣，成为高新区工业与服务业双轮驱动的重要增长极。集群拉动区域经济稳健向好。集群化提升全要素生产率。</w:t>
      </w:r>
    </w:p>
    <w:p>
      <w:pPr>
        <w:spacing w:lineRule="exact" w:line="600" w:after="0"/>
        <w:ind w:firstLine="420"/>
      </w:pPr>
      <w:r>
        <w:rPr>
          <w:rFonts w:ascii="仿宋_GB2312" w:hAnsi="仿宋_GB2312" w:eastAsia="仿宋_GB2312"/>
          <w:b w:val="0"/>
          <w:sz w:val="32"/>
        </w:rPr>
        <w:t>产业集群化提升全要素生产率。专业园区集聚降低配套与物流成本，基金与场景政策撬动社会投资，2024年技术交易额破50亿元、专利授权增45%。集群通过链主加专精特新分工，优化了资源配置，推动制造业向高附加值环节攀升，经济效应由规模扩张转向质量效益并重，发展质量改善。集群拉动区域经济稳健向好。集群化提升全要素生产率。外溢均衡化共享发展红利。</w:t>
      </w:r>
    </w:p>
    <w:p>
      <w:pPr>
        <w:spacing w:lineRule="exact" w:line="600" w:after="0"/>
        <w:ind w:firstLine="420"/>
      </w:pPr>
      <w:r>
        <w:rPr>
          <w:rFonts w:ascii="仿宋_GB2312" w:hAnsi="仿宋_GB2312" w:eastAsia="仿宋_GB2312"/>
          <w:b w:val="0"/>
          <w:sz w:val="32"/>
        </w:rPr>
        <w:t>需关注的是经济效应区域外溢不均。集群核心收益集中于链主与园区，周边配套县市获益相对间接；且硬件毛利承压，长期需靠软件与服务提升效益。应完善利益共享与产值分计机制，让潍坊全域更均衡地分享元宇宙集群发展红利，巩固经济增长的可持续性与包容性。集群拉动区域经济稳健向好。集群化提升全要素生产率。外溢均衡化共享发展红利。</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质量就业岗位。歌尔等链主企业吸纳数以万计的产业工人与研发人员；坊子元宇宙配套产业园规划聚集员工5万人。硬件制造、光学加工、内容制作、技术服务等环节提供多元岗位，2024年高新区城镇新增就业10784人，集群是稳就业、保民生的重要支撑力量。链主提供大量高质量岗位。高技能岗位改善人力回报。结构性矛盾需进阶培训破解。</w:t>
      </w:r>
    </w:p>
    <w:p>
      <w:pPr>
        <w:spacing w:lineRule="exact" w:line="600" w:after="0"/>
        <w:ind w:firstLine="420"/>
      </w:pPr>
      <w:r>
        <w:rPr>
          <w:rFonts w:ascii="仿宋_GB2312" w:hAnsi="仿宋_GB2312" w:eastAsia="仿宋_GB2312"/>
          <w:b w:val="0"/>
          <w:sz w:val="32"/>
        </w:rPr>
        <w:t>人才结构向高技能倾斜。VR协同创新中心、虚拟现实实训基地年培养超1200人，技术服务收入破3000万元，培育了一批三维建模师、XR开发工程师等高薪岗位，毕业生起薪超万元、就业率98%。集群推动就业从体力型向技能型、创意型升级，提升了本地人力资本回报水平。链主提供大量高质量岗位。高技能岗位改善人力回报。结构性矛盾需进阶培训破解。</w:t>
      </w:r>
    </w:p>
    <w:p>
      <w:pPr>
        <w:spacing w:lineRule="exact" w:line="600" w:after="0"/>
        <w:ind w:firstLine="420"/>
      </w:pPr>
      <w:r>
        <w:rPr>
          <w:rFonts w:ascii="仿宋_GB2312" w:hAnsi="仿宋_GB2312" w:eastAsia="仿宋_GB2312"/>
          <w:b w:val="0"/>
          <w:sz w:val="32"/>
        </w:rPr>
        <w:t>就业带动仍存结构性矛盾。高端研发岗竞争激烈、蓝领制造岗稳定但薪资天花板低，内容创作岗受行业波动影响大。应完善职业技能进阶与转岗培训体系，增强就业韧性；同时以产业集群引力留住青年人才，缓解人口与人才外流，实现更充分更高质量的就业效应与人才留存。链主提供大量高质量岗位。高技能岗位改善人力回报。结构性矛盾需进阶培训破解。</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产业带动。歌尔的光学、声学、微系统封装技术向本地配套企业扩散，提升区域精密制造整体水平；XR技术赋能装备制造、文旅、教育等传统产业数字化转型，形成元宇宙加融合溢出。高新区获省考核一等等次，综合排名提升13位，溢出正向反馈明显。技术外溢提升区域制造水平。平台人才辐射放大正外部性。城市品牌增强招商引力。</w:t>
      </w:r>
    </w:p>
    <w:p>
      <w:pPr>
        <w:spacing w:lineRule="exact" w:line="600" w:after="0"/>
        <w:ind w:firstLine="420"/>
      </w:pPr>
      <w:r>
        <w:rPr>
          <w:rFonts w:ascii="仿宋_GB2312" w:hAnsi="仿宋_GB2312" w:eastAsia="仿宋_GB2312"/>
          <w:b w:val="0"/>
          <w:sz w:val="32"/>
        </w:rPr>
        <w:t>创新溢出通过平台与人才流动实现。山大歌尔研究院、虚拟现实重点实验室的成果向外辐射；实训基地年输1.2万人才充实全省岗位。但溢出仍存在近邻偏好，对远郊县市带动有限；应建设跨区虚拟协同网络，推动技术、订单、人才向潍坊全域及鲁南经济圈外溢，放大集群正外部性。技术外溢提升区域制造水平。平台人才辐射放大正外部性。城市品牌增强招商引力。</w:t>
      </w:r>
    </w:p>
    <w:p>
      <w:pPr>
        <w:spacing w:lineRule="exact" w:line="600" w:after="0"/>
        <w:ind w:firstLine="420"/>
      </w:pPr>
      <w:r>
        <w:rPr>
          <w:rFonts w:ascii="仿宋_GB2312" w:hAnsi="仿宋_GB2312" w:eastAsia="仿宋_GB2312"/>
          <w:b w:val="0"/>
          <w:sz w:val="32"/>
        </w:rPr>
        <w:t>品牌与信心溢出不可忽视。潍坊元宇宙之都城市品牌提升招商引力与投资信心，2024年固投增4.1%高于全国全省。集群作为新质生产力标杆，增强了城市能级与区域辨识度，为其他未来产业提供可复制的三链融合范式，溢出效应超越单一产业边界，带动城市整体跃升。技术外溢提升区域制造水平。平台人才辐射放大正外部性。城市品牌增强招商引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公共服务与民生改善。高新区建成未来教育体验中心、元宇宙体验中心，以VR研学、AI课程丰富科普教育；政务虚拟客服潍高云厅提升办事便利。元宇宙技术下沉教育、政务场景，使居民就近享受数字化红利，增强了城市宜居度与青年友好度，获得感提升。数字红利下沉改善民生。治理应用提升城市效能。产业自信凝聚社会共识。</w:t>
      </w:r>
    </w:p>
    <w:p>
      <w:pPr>
        <w:spacing w:lineRule="exact" w:line="600" w:after="0"/>
        <w:ind w:firstLine="420"/>
      </w:pPr>
      <w:r>
        <w:rPr>
          <w:rFonts w:ascii="仿宋_GB2312" w:hAnsi="仿宋_GB2312" w:eastAsia="仿宋_GB2312"/>
          <w:b w:val="0"/>
          <w:sz w:val="32"/>
        </w:rPr>
        <w:t>在社会治理方面，元宇宙加应急管理等标杆应用提升城市安全与治理效能；数字孪生助力城市规划与基础设施管理。集群发展带动城市数字素养整体提升，促进包容性数字社会建设。但需防范数字鸿沟，确保技术应用普惠不同群体，避免红利集中于特定人群，维护社会公平。数字红利下沉改善民生。治理应用提升城市效能。产业自信凝聚社会共识。</w:t>
      </w:r>
    </w:p>
    <w:p>
      <w:pPr>
        <w:spacing w:lineRule="exact" w:line="600" w:after="0"/>
        <w:ind w:firstLine="420"/>
      </w:pPr>
      <w:r>
        <w:rPr>
          <w:rFonts w:ascii="仿宋_GB2312" w:hAnsi="仿宋_GB2312" w:eastAsia="仿宋_GB2312"/>
          <w:b w:val="0"/>
          <w:sz w:val="32"/>
        </w:rPr>
        <w:t>集群还带来观念与文化自信效应。潍坊从电子城到元宇宙之都的跃迁，重塑城市精神与产业自信；媒体广泛传播的潍坊样本鼓舞本土创新氛围。社会效应的深层体现，是城市以未来产业重塑发展预期，凝聚起向新而行的社会共识与行动合力，涵养创新文化。数字红利下沉改善民生。治理应用提升城市效能。产业自信凝聚社会共识。数字红利下沉改善民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优势在于链主强势、硬件领先、政策完整、载体充足；短板在于软件工具与内容生态偏弱、高端元器件对外依存、腰部企业断层、链主与配套深层协作不足、高端复合人才紧缺。结构软硬失衡与价值位势偏低是核心矛盾，制约从制造集群向创造集群跃升，亟待破局。优势短板并存需系统施策。外部挑战具多重叠加性。能级待升期须转换红利。</w:t>
      </w:r>
    </w:p>
    <w:p>
      <w:pPr>
        <w:spacing w:lineRule="exact" w:line="600" w:after="0"/>
        <w:ind w:firstLine="420"/>
      </w:pPr>
      <w:r>
        <w:rPr>
          <w:rFonts w:ascii="仿宋_GB2312" w:hAnsi="仿宋_GB2312" w:eastAsia="仿宋_GB2312"/>
          <w:b w:val="0"/>
          <w:sz w:val="32"/>
        </w:rPr>
        <w:t>外部挑战来自区域同质竞争、技术路线不确定、供应链与贸易壁垒、资本政策周期性退潮。内部治理上，协会纽带、公共服务平台、场景开放机制尚可优化。问题具有系统性，需以强链补链延链为主线，统筹技术、企业、要素、政策多维发力，避免单点施策、顾此失彼，系统施策。优势短板并存需系统施策。外部挑战具多重叠加性。能级待升期须转换红利。</w:t>
      </w:r>
    </w:p>
    <w:p>
      <w:pPr>
        <w:spacing w:lineRule="exact" w:line="600" w:after="0"/>
        <w:ind w:firstLine="420"/>
      </w:pPr>
      <w:r>
        <w:rPr>
          <w:rFonts w:ascii="仿宋_GB2312" w:hAnsi="仿宋_GB2312" w:eastAsia="仿宋_GB2312"/>
          <w:b w:val="0"/>
          <w:sz w:val="32"/>
        </w:rPr>
        <w:t>需求端已从消费娱乐转向产业赋能，对集群能力提出新要求。能否抓住工业元宇宙、数字孪生窗口，取决于底层技术自主与内容供给能力。总结而言，集群处于规模领先但能级待升的关键期，亟需以创新驱动与生态优化，实现由政策红利向市场红利的根本转换，迈上新台阶。优势短板并存需系统施策。外部挑战具多重叠加性。能级待升期须转换红利。</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软件工具与关键材料短板。应支持三维引擎、数字人生成、仿真建模等底层工具研发，引育内容平台与行业数据集企业；向上游突破高性能GPU封装、显示驱动、高端MEMS等，依托本地化工新材料基础延伸关键材料，降低对外依存，提升产业链自主可控水平与韧性。补链聚焦软件与关键材料。强链巩固光学声学优势。延链迈向高附加值服务。</w:t>
      </w:r>
    </w:p>
    <w:p>
      <w:pPr>
        <w:spacing w:lineRule="exact" w:line="600" w:after="0"/>
        <w:ind w:firstLine="420"/>
      </w:pPr>
      <w:r>
        <w:rPr>
          <w:rFonts w:ascii="仿宋_GB2312" w:hAnsi="仿宋_GB2312" w:eastAsia="仿宋_GB2312"/>
          <w:b w:val="0"/>
          <w:sz w:val="32"/>
        </w:rPr>
        <w:t>强链重在巩固光学、声学、微系统封装等优势环节。以歌尔为核，持续攻关衍射光波导、Pancake折叠光路、SIP微系统封装等核心技术，扩大全球份额与技术壁垒；推动硬件整机向软硬一体升级，强化在XR价值链中的节点控制力与议价能力，筑牢不可替代的竞争优势基本盘。补链聚焦软件与关键材料。强链巩固光学声学优势。延链迈向高附加值服务。</w:t>
      </w:r>
    </w:p>
    <w:p>
      <w:pPr>
        <w:spacing w:lineRule="exact" w:line="600" w:after="0"/>
        <w:ind w:firstLine="420"/>
      </w:pPr>
      <w:r>
        <w:rPr>
          <w:rFonts w:ascii="仿宋_GB2312" w:hAnsi="仿宋_GB2312" w:eastAsia="仿宋_GB2312"/>
          <w:b w:val="0"/>
          <w:sz w:val="32"/>
        </w:rPr>
        <w:t>延链重在向高附加值服务端延伸。发展工业元宇宙、数字孪生工厂、数字文旅、教育培训等应用，培育自有内容IP与平台；推动价值重心由制造向技术、内容、服务迁移。依托揭榜挂帅开放更多刚需场景，形成研发、试点、推广闭环，延长集群价值链条与生命周期，提升综合能级。补链聚焦软件与关键材料。强链巩固光学声学优势。延链迈向高附加值服务。</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腰部、幼苗梯次培育。支持歌尔稳链主、强标准；遴选年营收过亿元潜力企业给予最高500万元奖励，壮大腰部中坚；对中小内容工具企业实施小升规与专精特新培育。借鉴潍坊优质企业353家梯度体系，打造创新型、专精特新、小巨人、单项冠军成长通道，厚植梯队。梯次培育壮大企业后备。融通发展形成雨林生态。出海能力拓展外部空间。</w:t>
      </w:r>
    </w:p>
    <w:p>
      <w:pPr>
        <w:spacing w:lineRule="exact" w:line="600" w:after="0"/>
        <w:ind w:firstLine="420"/>
      </w:pPr>
      <w:r>
        <w:rPr>
          <w:rFonts w:ascii="仿宋_GB2312" w:hAnsi="仿宋_GB2312" w:eastAsia="仿宋_GB2312"/>
          <w:b w:val="0"/>
          <w:sz w:val="32"/>
        </w:rPr>
        <w:t>推动大中小企业融通。建立链主向配套企业开放场景、订单、检测平台的机制，组织融链固链对接；鼓励龙头企业通过众创、并购整合中小技术，形成雨林型生态。支持中小企业卡位入链，在传感器、结构件、内容制作等细分点形成差异化竞争力，避免同质内卷，提升网络效率。梯次培育壮大企业后备。融通发展形成雨林生态。出海能力拓展外部空间。</w:t>
      </w:r>
    </w:p>
    <w:p>
      <w:pPr>
        <w:spacing w:lineRule="exact" w:line="600" w:after="0"/>
        <w:ind w:firstLine="420"/>
      </w:pPr>
      <w:r>
        <w:rPr>
          <w:rFonts w:ascii="仿宋_GB2312" w:hAnsi="仿宋_GB2312" w:eastAsia="仿宋_GB2312"/>
          <w:b w:val="0"/>
          <w:sz w:val="32"/>
        </w:rPr>
        <w:t>强化企业出海与品牌能力。支持龙头企业主导国际标准、拓展自主品牌出海；中小企业借力保税区与海外仓拓展配套出口。建立元宇宙企业出海合规与认证公共服务，应对碳足迹、数据合规壁垒。以技术、品牌双输出，提升集群企业全球市场位势与抗风险能力，拓展外部空间。梯次培育壮大企业后备。融通发展形成雨林生态。出海能力拓展外部空间。</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底层技术原创能力。依托山大歌尔研究院、山东省虚拟现实重点实验室，布局图形引擎、动态建模、数字人等根技术；鼓励企业牵头组建创新联合体，承担国家级课题。加大基础研究投入占比，推动专利向标准跃升，扭转硬强软弱的的创新产出结构，夯实原创根基。原创能力扭转软弱结构。中试体系畅通转化通道。产教融合筑牢人才根基。</w:t>
      </w:r>
    </w:p>
    <w:p>
      <w:pPr>
        <w:spacing w:lineRule="exact" w:line="600" w:after="0"/>
        <w:ind w:firstLine="420"/>
      </w:pPr>
      <w:r>
        <w:rPr>
          <w:rFonts w:ascii="仿宋_GB2312" w:hAnsi="仿宋_GB2312" w:eastAsia="仿宋_GB2312"/>
          <w:b w:val="0"/>
          <w:sz w:val="32"/>
        </w:rPr>
        <w:t>完善平台共享与中试体系。建设面向内容企业的公共算力、数据标注、首版次测试平台，开放大型仪器与中试线；推动高校院所平台向中小企业可及。以元宇宙未来产业加速园为载体，打造研发、中试、产业化闭环，提升创新成果转化效率与集群整体技术密度，畅通转化通道。原创能力扭转软弱结构。中试体系畅通转化通道。产教融合筑牢人才根基。</w:t>
      </w:r>
    </w:p>
    <w:p>
      <w:pPr>
        <w:spacing w:lineRule="exact" w:line="600" w:after="0"/>
        <w:ind w:firstLine="420"/>
      </w:pPr>
      <w:r>
        <w:rPr>
          <w:rFonts w:ascii="仿宋_GB2312" w:hAnsi="仿宋_GB2312" w:eastAsia="仿宋_GB2312"/>
          <w:b w:val="0"/>
          <w:sz w:val="32"/>
        </w:rPr>
        <w:t>深化产教融合与人才共育。扩大订单式培养与VR协同创新中心规模，引育底层算法、跨界架构等高端人才；完善股权激励与安居政策留住核心人才。构建企业出题、院校答题、市场阅卷机制，使人才链与创新链、产业链高效咬合，筑牢集群创新的人力根基与长效供给。原创能力扭转软弱结构。中试体系畅通转化通道。产教融合筑牢人才根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资本上，优化百亿基金投向，向软件工具、内容生态、工业元宇宙倾斜，完善知识产权质押与风投机制，建立首台套首版次保险补偿。土地上，严控亩均产出门槛、引导企业上楼集聚，盘活低效用地。能耗上，发挥数字产业低碳优势，争取能耗指标支持绿色扩张，保障要素供给。资本土地能耗协同保障。数据要素成为新关键。营商优化稳定要素预期。</w:t>
      </w:r>
    </w:p>
    <w:p>
      <w:pPr>
        <w:spacing w:lineRule="exact" w:line="600" w:after="0"/>
        <w:ind w:firstLine="420"/>
      </w:pPr>
      <w:r>
        <w:rPr>
          <w:rFonts w:ascii="仿宋_GB2312" w:hAnsi="仿宋_GB2312" w:eastAsia="仿宋_GB2312"/>
          <w:b w:val="0"/>
          <w:sz w:val="32"/>
        </w:rPr>
        <w:t>数据要素是新关键。应建设集群级工业数据集与场景库，在合规前提下推动数据有序流通，支撑AI加元宇宙训练；布局算力基础设施，降低中小企业用算成本。原材料上，依托本地新材料基础延伸关键电子化学品与光学材料，提升近地配套率与供应链安全，稳固要素底盘。资本土地能耗协同保障。数据要素成为新关键。营商优化稳定要素预期。</w:t>
      </w:r>
    </w:p>
    <w:p>
      <w:pPr>
        <w:spacing w:lineRule="exact" w:line="600" w:after="0"/>
        <w:ind w:firstLine="420"/>
      </w:pPr>
      <w:r>
        <w:rPr>
          <w:rFonts w:ascii="仿宋_GB2312" w:hAnsi="仿宋_GB2312" w:eastAsia="仿宋_GB2312"/>
          <w:b w:val="0"/>
          <w:sz w:val="32"/>
        </w:rPr>
        <w:t>营商环境持续优化。推广潍高云厅虚拟客服与全生命周期服务，简化政策申报与兑现流程，扩大中小企业政策触达；发挥产业联盟在供需对接、风险预警中的纽带作用。以政策包、基金群、场景开放稳定企业预期，护航集群穿越技术周期与资本波动，保障要素供给的连续性与可预期性。资本土地能耗协同保障。数据要素成为新关键。营商优化稳定要素预期。</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应从普惠扶持转向精准滴灌。在保持22条专项与百亿基金基础上，针对软件工具、内容生态、高端材料等环节制定专项细则，避免资金沉淀于硬件重复建设。完善一事一议与绩效评估，按产出与贡献配置资源，提升财政杠杆的精准度与可持续性，提高资金使用效益。精准滴灌提升资金效益。协同政策放大双擎效能。动态评估护航市场转型。</w:t>
      </w:r>
    </w:p>
    <w:p>
      <w:pPr>
        <w:spacing w:lineRule="exact" w:line="600" w:after="0"/>
        <w:ind w:firstLine="420"/>
      </w:pPr>
      <w:r>
        <w:rPr>
          <w:rFonts w:ascii="仿宋_GB2312" w:hAnsi="仿宋_GB2312" w:eastAsia="仿宋_GB2312"/>
          <w:b w:val="0"/>
          <w:sz w:val="32"/>
        </w:rPr>
        <w:t>强化区域协同政策。立足潍坊整机制造引擎定位，深化与青岛研发、济南工具的错位协同，推动省联盟内场景与标准共享，避免省内内耗。争取国家级元宇宙先导区、未来产业加速园等招牌，向上集聚资源。以协同政策放大双擎驱动整体效能，提升全省产业链协同水平。精准滴灌提升资金效益。协同政策放大双擎效能。动态评估护航市场转型。</w:t>
      </w:r>
    </w:p>
    <w:p>
      <w:pPr>
        <w:spacing w:lineRule="exact" w:line="600" w:after="0"/>
        <w:ind w:firstLine="420"/>
      </w:pPr>
      <w:r>
        <w:rPr>
          <w:rFonts w:ascii="仿宋_GB2312" w:hAnsi="仿宋_GB2312" w:eastAsia="仿宋_GB2312"/>
          <w:b w:val="0"/>
          <w:sz w:val="32"/>
        </w:rPr>
        <w:t>建立动态评估与风险缓冲机制。对元宇宙赛道设置技术路线与需求预警，防范概念泡沫与资本退潮冲击中小内容企业；完善基金投早投小投硬科技容错机制。以稳健、透明、可预期的政策环境，引导集群从政策驱动平稳转向市场驱动，实现长期高质量发展与行稳致远。精准滴灌提升资金效益。协同政策放大双擎效能。动态评估护航市场转型。精准滴灌提升资金效益。</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潍坊高新区2024年国民经济和社会发展统计公报（潍坊高新区管委会）https://www.wfgx.gov.cn/GXQXXGK/TJJ/202509/t20250912_495577.html</w:t>
      </w:r>
    </w:p>
    <w:p>
      <w:pPr>
        <w:spacing w:lineRule="exact" w:line="600" w:after="0"/>
        <w:ind w:firstLine="0"/>
      </w:pPr>
      <w:r>
        <w:rPr>
          <w:rFonts w:ascii="仿宋_GB2312" w:hAnsi="仿宋_GB2312" w:eastAsia="仿宋_GB2312"/>
          <w:b w:val="0"/>
          <w:sz w:val="32"/>
        </w:rPr>
        <w:t>2. 潍坊高新区元宇宙特色产业集群入选2024年度山东省中小企业特色产业集群（潍坊高新区）https://www.wfgx.gov.cn/ZT/QYZJ/GZJLJ/202408/t20240820_458937.html</w:t>
      </w:r>
    </w:p>
    <w:p>
      <w:pPr>
        <w:spacing w:lineRule="exact" w:line="600" w:after="0"/>
        <w:ind w:firstLine="0"/>
      </w:pPr>
      <w:r>
        <w:rPr>
          <w:rFonts w:ascii="仿宋_GB2312" w:hAnsi="仿宋_GB2312" w:eastAsia="仿宋_GB2312"/>
          <w:b w:val="0"/>
          <w:sz w:val="32"/>
        </w:rPr>
        <w:t>3. 潍坊市人民政府关于印发潍坊市打造元宇宙技术创新与产业之都行动计划（2023—2026年）的通知 https://www.weifang.gov.cn/162/55329/1635812155561480192.html</w:t>
      </w:r>
    </w:p>
    <w:p>
      <w:pPr>
        <w:spacing w:lineRule="exact" w:line="600" w:after="0"/>
        <w:ind w:firstLine="0"/>
      </w:pPr>
      <w:r>
        <w:rPr>
          <w:rFonts w:ascii="仿宋_GB2312" w:hAnsi="仿宋_GB2312" w:eastAsia="仿宋_GB2312"/>
          <w:b w:val="0"/>
          <w:sz w:val="32"/>
        </w:rPr>
        <w:t>4. 对市政协十四届二次会议第142352号《关于加快推进元宇宙产业政策落地的建议》提案的答复（潍坊市人民政府）https://www.weifang.gov.cn/xxgk/webapp/doc/wordnew/1672781981940846593</w:t>
      </w:r>
    </w:p>
    <w:p>
      <w:pPr>
        <w:spacing w:lineRule="exact" w:line="600" w:after="0"/>
        <w:ind w:firstLine="0"/>
      </w:pPr>
      <w:r>
        <w:rPr>
          <w:rFonts w:ascii="仿宋_GB2312" w:hAnsi="仿宋_GB2312" w:eastAsia="仿宋_GB2312"/>
          <w:b w:val="0"/>
          <w:sz w:val="32"/>
        </w:rPr>
        <w:t>5. 山东拟加快元宇宙产业创新发展，培育100家特色优势企业、打造100个应用场景（山东省工信厅）http://gxt.shandong.gov.cn/art/2023/9/8/art_15171_10335704.html</w:t>
      </w:r>
    </w:p>
    <w:p>
      <w:pPr>
        <w:spacing w:lineRule="exact" w:line="600" w:after="0"/>
        <w:ind w:firstLine="0"/>
      </w:pPr>
      <w:r>
        <w:rPr>
          <w:rFonts w:ascii="仿宋_GB2312" w:hAnsi="仿宋_GB2312" w:eastAsia="仿宋_GB2312"/>
          <w:b w:val="0"/>
          <w:sz w:val="32"/>
        </w:rPr>
        <w:t>6. 高科技引领 生态圈赋能 潍坊高新区推动未来产业与数字文化融合发展（中国城市网）https://www.zgcsb.com/news/pinDao/2025-09/18/ma_620392.html</w:t>
      </w:r>
    </w:p>
    <w:p>
      <w:pPr>
        <w:spacing w:lineRule="exact" w:line="600" w:after="0"/>
        <w:ind w:firstLine="0"/>
      </w:pPr>
      <w:r>
        <w:rPr>
          <w:rFonts w:ascii="仿宋_GB2312" w:hAnsi="仿宋_GB2312" w:eastAsia="仿宋_GB2312"/>
          <w:b w:val="0"/>
          <w:sz w:val="32"/>
        </w:rPr>
        <w:t>7. 潍坊打造元宇宙技术创新与产业之都（财报网）http://epaper.cbt.com.cn/epaper/uniflows/html/2024/11/11/04/04_56.htm</w:t>
      </w:r>
    </w:p>
    <w:p>
      <w:pPr>
        <w:spacing w:lineRule="exact" w:line="600" w:after="0"/>
        <w:ind w:firstLine="0"/>
      </w:pPr>
      <w:r>
        <w:rPr>
          <w:rFonts w:ascii="仿宋_GB2312" w:hAnsi="仿宋_GB2312" w:eastAsia="仿宋_GB2312"/>
          <w:b w:val="0"/>
          <w:sz w:val="32"/>
        </w:rPr>
        <w:t>8. 工信部等五部门发文加快推动元宇宙产业发展 2025年山东元宇宙相关产业规模将达到1500亿元（大众日报）https://dzrb.dzng.com/articleContent/710_1184771.html</w:t>
      </w:r>
    </w:p>
    <w:p>
      <w:pPr>
        <w:spacing w:lineRule="exact" w:line="600" w:after="0"/>
        <w:ind w:firstLine="0"/>
      </w:pPr>
      <w:r>
        <w:rPr>
          <w:rFonts w:ascii="仿宋_GB2312" w:hAnsi="仿宋_GB2312" w:eastAsia="仿宋_GB2312"/>
          <w:b w:val="0"/>
          <w:sz w:val="32"/>
        </w:rPr>
        <w:t>9. 星光耀征程|元宇宙潍坊样本：一座城市的数字经济突围战（山东新闻网）https://pinglun.sdnews.com.cn/lj/202503/t20250305_4498319.htm</w:t>
      </w:r>
    </w:p>
    <w:p>
      <w:pPr>
        <w:spacing w:lineRule="exact" w:line="600" w:after="0"/>
        <w:ind w:firstLine="0"/>
      </w:pPr>
      <w:r>
        <w:rPr>
          <w:rFonts w:ascii="仿宋_GB2312" w:hAnsi="仿宋_GB2312" w:eastAsia="仿宋_GB2312"/>
          <w:b w:val="0"/>
          <w:sz w:val="32"/>
        </w:rPr>
        <w:t>10. 这些基础优势 让潍坊打造元宇宙技术创新与产业之都更有底气（齐鲁网）https://weifang.iqilu.com/wfyaowen/2022/1217/5307090.shtml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