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肥城市高性能纤维及复合材料特色产业集群发展研究报告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肥城市高性能纤维及复合材料特色产业集群位于山东肥城高新区及王瓜店街道一带，于二〇二三年度入选山东省中小企业特色产业集群名单。集群以肥城市高性能纤维及复合材料产业链为主体，是泰安市该产业链的重要组成部分，依托高新区与街道园区集中管理，形成区域面积百平方公里以内、协作配套百余户的产业集聚区。其入选省级特色产业集群，标志着肥城新材料迈上新台阶。</w:t>
      </w:r>
    </w:p>
    <w:p>
      <w:pPr>
        <w:spacing w:lineRule="exact" w:line="600" w:after="0"/>
        <w:ind w:firstLine="420"/>
      </w:pPr>
      <w:r>
        <w:rPr>
          <w:rFonts w:ascii="仿宋_GB2312" w:hAnsi="仿宋_GB2312" w:eastAsia="仿宋_GB2312"/>
          <w:b w:val="0"/>
          <w:sz w:val="32"/>
        </w:rPr>
        <w:t>集群由肥城市人民政府主导、肥城高新区与高性能纤维及复合材料产业链专班具体推进，坚持党建引领与专班服务相结合。园区以链上优势龙头企业为依托，畅通产业协作网络，增强创新活力与关键环节配套能力，是肥城市工业发展的重要引擎与高性能纤维复合材料产业发展新高地。专班服务模式彰显其高效协同的治理特色。该趋势与全市工业整体走向基本一致。</w:t>
      </w:r>
    </w:p>
    <w:p>
      <w:pPr>
        <w:spacing w:lineRule="exact" w:line="600" w:after="0"/>
        <w:ind w:firstLine="420"/>
      </w:pPr>
      <w:r>
        <w:rPr>
          <w:rFonts w:ascii="仿宋_GB2312" w:hAnsi="仿宋_GB2312" w:eastAsia="仿宋_GB2312"/>
          <w:b w:val="0"/>
          <w:sz w:val="32"/>
        </w:rPr>
        <w:t>从行政隶属看，集群地处肥城市西部，与肥城城区、肥矿集团和市高新区互融相连，王瓜店街道是该产业的传统承载地。作为肥城四大主导产业之一，高性能纤维及复合材料在全区工业经济中地位突出，是拉动规上工业增长、扩大就业与出口的关键力量。清晰的区域定位为后续集聚奠定了制度基础。上述判断基于公开权威信息与实地资料。</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稳步攀升。据泰安市产业链数据，二〇二二年肥城高性能纤维及复合材料产业链实现营收四十三点六二亿元、税收一点三七亿元、利润二点八亿元，同比分别增长百分之十四点五九、百分之十八点一和百分之十二点零五，全年固定资产投资五点八亿元，增长韧性与效益同步显现。营收利润双增，凸显集群的成长性与投资吸引力。其经验对同类资源型园区具参考价值。</w:t>
      </w:r>
    </w:p>
    <w:p>
      <w:pPr>
        <w:spacing w:lineRule="exact" w:line="600" w:after="0"/>
        <w:ind w:firstLine="420"/>
      </w:pPr>
      <w:r>
        <w:rPr>
          <w:rFonts w:ascii="仿宋_GB2312" w:hAnsi="仿宋_GB2312" w:eastAsia="仿宋_GB2312"/>
          <w:b w:val="0"/>
          <w:sz w:val="32"/>
        </w:rPr>
        <w:t>企业数量与产出持续扩张。肥城链上规上企业达二十六至二十九家，主要从事无纺布、土工材料、碳纤维、石墨材料等系列产品；较新统计年营业收入四十六点八亿元、利润三点五五亿元、税收一点七九亿元。国家级制造业单项冠军示范企业两家、专精特新小巨人一家、省瞪羚企业五家。单项冠军与瞪羚企业集聚，反映活力充沛。相关成效仍在持续累积、逐步显现。</w:t>
      </w:r>
    </w:p>
    <w:p>
      <w:pPr>
        <w:spacing w:lineRule="exact" w:line="600" w:after="0"/>
        <w:ind w:firstLine="420"/>
      </w:pPr>
      <w:r>
        <w:rPr>
          <w:rFonts w:ascii="仿宋_GB2312" w:hAnsi="仿宋_GB2312" w:eastAsia="仿宋_GB2312"/>
          <w:b w:val="0"/>
          <w:sz w:val="32"/>
        </w:rPr>
        <w:t>项目储备支撑后续放量。肥城新签约项目三个、计划总投资八点六亿元，新增技改扩规项目五个、计划总投资二点六八亿元，新开工项目四个、计划总投资十一点九八亿元。龙头联谊新型智能化工程材料产业园全部达产可年加工土工材料一点五亿平方米，规模效应持续释放。充裕项目储备为规模扩张提供可靠支撑。需以系统思维加以统筹与推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高性能纤维与复合材料两大方向。产品涵盖土工合成材料、涤纶纺粘无纺布、碳纤维预浸料、石墨化预焙阳极、绳缆、FRP纤维增强复合筋材、高温环保滤材等，形成从纤维原料、预制料到复合材料制品的较完整谱系，广泛应用于基建、环保、电力等领域。两大主导方向协同，使集群具备较强配套能力。这为集群后续提质升级提供扎实基础。</w:t>
      </w:r>
    </w:p>
    <w:p>
      <w:pPr>
        <w:spacing w:lineRule="exact" w:line="600" w:after="0"/>
        <w:ind w:firstLine="420"/>
      </w:pPr>
      <w:r>
        <w:rPr>
          <w:rFonts w:ascii="仿宋_GB2312" w:hAnsi="仿宋_GB2312" w:eastAsia="仿宋_GB2312"/>
          <w:b w:val="0"/>
          <w:sz w:val="32"/>
        </w:rPr>
        <w:t>土工复合材料是核心优势领域。以肥城联谊、山东路德为代表，主攻玻纤土工格栅、双向经编涤纶土工格栅、复合土工膜等，产品用于公路、铁路、水利、电力等国家重大工程，并出口欧美、日本、俄罗斯及“一带一路”沿线二十余国，市场覆盖面广、竞争力强。土工复合材料是集群最具全球竞争力的优势领域。各方对此已形成较为广泛的共识。</w:t>
      </w:r>
    </w:p>
    <w:p>
      <w:pPr>
        <w:spacing w:lineRule="exact" w:line="600" w:after="0"/>
        <w:ind w:firstLine="420"/>
      </w:pPr>
      <w:r>
        <w:rPr>
          <w:rFonts w:ascii="仿宋_GB2312" w:hAnsi="仿宋_GB2312" w:eastAsia="仿宋_GB2312"/>
          <w:b w:val="0"/>
          <w:sz w:val="32"/>
        </w:rPr>
        <w:t>无纺布与滤材、碳纤维是延伸主攻方向。山东泰鹏集团聚焦高温环保滤材与纺粘无纺布，引入德国双组份、日本SMS等八国装备，借助华为工业互联网提升效率；碳纤维预浸料、石墨材料同步布局，集群由传统土工材料向多元高性能纤维复合材料加速拓展。多元纤维布局为集群打开面向新基建的增长空间。其示范意义值得进一步总结推广。</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纤维原料、预制料到复合材料制品的产业链。上游涵盖玻璃纤维、涤纶等纤维原料与树脂基体，中游为土工格栅、无纺布、预浸料、石墨化制品等复合材料，下游延伸至工程应用、环保滤材与商贸物流，链条环节衔接较为顺畅。全链条衔接显著降低了企业外部协作成本。应在发展实践中不断完善与优化。该方向契合高质量发展根本要求。</w:t>
      </w:r>
    </w:p>
    <w:p>
      <w:pPr>
        <w:spacing w:lineRule="exact" w:line="600" w:after="0"/>
        <w:ind w:firstLine="420"/>
      </w:pPr>
      <w:r>
        <w:rPr>
          <w:rFonts w:ascii="仿宋_GB2312" w:hAnsi="仿宋_GB2312" w:eastAsia="仿宋_GB2312"/>
          <w:b w:val="0"/>
          <w:sz w:val="32"/>
        </w:rPr>
        <w:t>链内配套与产学研协同提升完整性。肥城联谊建立复合材料实验室与碳纤维复合材料实验室，带动全域四十余家土工材料产业发展；企业与北京科技大学、山东大学、河海大学、中科院大连化物所等共建研发，上下游联动使“原料—制品—工程服务”闭环逐步成型。产学研协同使技术链条闭环逐步成型。由此形成的协同合力正在加快显现。</w:t>
      </w:r>
    </w:p>
    <w:p>
      <w:pPr>
        <w:spacing w:lineRule="exact" w:line="600" w:after="0"/>
        <w:ind w:firstLine="420"/>
      </w:pPr>
      <w:r>
        <w:rPr>
          <w:rFonts w:ascii="仿宋_GB2312" w:hAnsi="仿宋_GB2312" w:eastAsia="仿宋_GB2312"/>
          <w:b w:val="0"/>
          <w:sz w:val="32"/>
        </w:rPr>
        <w:t>从基础材料到终端应用链条基本建立。园区通过产业链专班统筹，将土工、无纺、碳纤维、石墨等子链串珠成簇；山东路德“国家重大基建工程用高性能土工复合新材料”项目荣膺中国工业大奖，标志集群从材料制造向系统解决方案延伸，链条纵向贯通度不断提高。靶向服务使上下游环节持续补全。长期看有利于集群实现行稳致远。从全省看，这一路径具有推广价值。</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纤维与树脂基体制约仍存。尽管土工格栅领先，但高性能碳纤维、芳纶等高端纤维及电子级树脂仍部分依赖外部，部分关键基体材料需外购；公共中试与共性技术平台不足，制约新产品从实验室到产线的工程化，影响向更高附加值环节攀升。高端纤维不足制约了单位产出的附加收益。需警惕潜在风险并保持战略定力。数字化与绿色化正成为关键变量。</w:t>
      </w:r>
    </w:p>
    <w:p>
      <w:pPr>
        <w:spacing w:lineRule="exact" w:line="600" w:after="0"/>
        <w:ind w:firstLine="420"/>
      </w:pPr>
      <w:r>
        <w:rPr>
          <w:rFonts w:ascii="仿宋_GB2312" w:hAnsi="仿宋_GB2312" w:eastAsia="仿宋_GB2312"/>
          <w:b w:val="0"/>
          <w:sz w:val="32"/>
        </w:rPr>
        <w:t>产品同质化与附加值分化。土工材料企业数量多，中低端塑料土工格栅同质竞争明显，高韧性玻纤格栅、智能复合土工材料占比待提升；多数中小企业处于配套环节，单体规模偏小，整体附加值有待通过差异化与高端化进一步提高。中试短板使部分成果难在园内就地转化。龙头牵引仍是集群壮大的主线索。循环化改造释放的红利仍将持续。</w:t>
      </w:r>
    </w:p>
    <w:p>
      <w:pPr>
        <w:spacing w:lineRule="exact" w:line="600" w:after="0"/>
        <w:ind w:firstLine="420"/>
      </w:pPr>
      <w:r>
        <w:rPr>
          <w:rFonts w:ascii="仿宋_GB2312" w:hAnsi="仿宋_GB2312" w:eastAsia="仿宋_GB2312"/>
          <w:b w:val="0"/>
          <w:sz w:val="32"/>
        </w:rPr>
        <w:t>要素与环境容量约束趋紧。复合材料涉及能耗与环保处理，在安全环保常态化监管下，新项目能评环评门槛提高，部分扩能受用能、环境容量指标制约。园区须持续投入智能化监测与绿色工艺，平衡扩能与低碳安全，避免合规风险。容量约束要求新项目必须走绿色低碳路径。公共平台补短是当务之急。区域承载力的提升支撑了集群扩张。内外需协同将拓宽增长空间。</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整体处于由中低端土工材料向高端复合材料攀升的阶段。普通塑料土工格栅属大宗产品，附加值有限；而玻纤土工格栅、高温环保滤材、碳纤维预浸料等已具较强议价能力，肥城联谊多项产品全国领先并参与九项国标、五项行标，价值链向“微笑曲线”两端移动。单项冠军产品正带动集群向价值链高端攀升。要素集约利用水平决定未来上限。</w:t>
      </w:r>
    </w:p>
    <w:p>
      <w:pPr>
        <w:spacing w:lineRule="exact" w:line="600" w:after="0"/>
        <w:ind w:firstLine="420"/>
      </w:pPr>
      <w:r>
        <w:rPr>
          <w:rFonts w:ascii="仿宋_GB2312" w:hAnsi="仿宋_GB2312" w:eastAsia="仿宋_GB2312"/>
          <w:b w:val="0"/>
          <w:sz w:val="32"/>
        </w:rPr>
        <w:t>龙头创新提升价值捕获能力。肥城联谊首创“柔性双抗”涂覆材料，径向断裂强力达三百千牛每米，极端环境下性能保留率百分之九十三，超越国外领军企业；每年将百分之四点二营收投入研发，向“系统服务商”转型，价值留存与话语权显著增强。龙头工艺突破增强了价值留存能力。开放合作有望补上国际化短板。创新策源能力有待进一步夯实。</w:t>
      </w:r>
    </w:p>
    <w:p>
      <w:pPr>
        <w:spacing w:lineRule="exact" w:line="600" w:after="0"/>
        <w:ind w:firstLine="420"/>
      </w:pPr>
      <w:r>
        <w:rPr>
          <w:rFonts w:ascii="仿宋_GB2312" w:hAnsi="仿宋_GB2312" w:eastAsia="仿宋_GB2312"/>
          <w:b w:val="0"/>
          <w:sz w:val="32"/>
        </w:rPr>
        <w:t>数字化赋能抬升效率。山东泰鹏借助华为工业互联网，生产效率高出欧美龙头百分之二十以上；企业服务云平台将二十六家链上企业统一管理。数智手段压缩交易与库存成本，使集群在同等产出下获取更高净收益，价值链位置稳步优化。数智赋能使集群在同等产出下获得更高净收益。安全底线须贯穿发展全过程。该趋势与全市工业整体走向基本一致。</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链主企业与配套企业分工清晰。以肥城联谊、山东泰鹏、昌盛特种石墨、山东路德等为龙头，联谊牵引土工复合材料，泰鹏牵引无纺与滤材，路德牵引重大基建土工新材料；中小企业围绕原材料、制品、商贸物流配套协作，构成“链主引领、配套协同”格局。链主牵引、配套协同的分工格局已初步成型。上述判断基于公开权威信息与实地资料。</w:t>
      </w:r>
    </w:p>
    <w:p>
      <w:pPr>
        <w:spacing w:lineRule="exact" w:line="600" w:after="0"/>
        <w:ind w:firstLine="420"/>
      </w:pPr>
      <w:r>
        <w:rPr>
          <w:rFonts w:ascii="仿宋_GB2312" w:hAnsi="仿宋_GB2312" w:eastAsia="仿宋_GB2312"/>
          <w:b w:val="0"/>
          <w:sz w:val="32"/>
        </w:rPr>
        <w:t>园区内推行专业化空间分工。肥城高新区集中布局新型智能化工程材料产业园、泰鹏滤材基地等，王瓜店街道延续玻纤复合材料传统优势，各片区聚焦特定赛道，避免同质化。联谊产业园带动四十余家土工材料企业，形成“一核多配套”的空间布局。园中园模式有效避免了内部同质化竞争。其经验对同类资源型园区具参考价值。相关成效仍在持续累积、逐步显现。</w:t>
      </w:r>
    </w:p>
    <w:p>
      <w:pPr>
        <w:spacing w:lineRule="exact" w:line="600" w:after="0"/>
        <w:ind w:firstLine="420"/>
      </w:pPr>
      <w:r>
        <w:rPr>
          <w:rFonts w:ascii="仿宋_GB2312" w:hAnsi="仿宋_GB2312" w:eastAsia="仿宋_GB2312"/>
          <w:b w:val="0"/>
          <w:sz w:val="32"/>
        </w:rPr>
        <w:t>区域分工上，肥城高性能纤维与宁阳、岱岳化工及全市新材料错位。泰安市高性能纤维及复合材料产业链统筹各县市区，肥城以土工、无纺、碳纤维为主，与岱岳玻纤新材料、肥城化工新材料互补，全市形成协同互补的分工体系，特色更加凸显。全市错位协同放大了肥城的复合材料特色。需以系统思维加以统筹与推进。这为集群后续提质升级提供扎实基础。</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规模以上工业企业为主体，肥城链上规上企业二十六至二十九家，民营企业占绝大多数。肥城联谊、山东泰鹏、昌盛特种石墨、山东路德等构成大型骨干，另有大量中小型土工、无纺、石墨配套企业，呈现“大中小融通”的金字塔结构。金字塔结构有利于大中小企业融通发展。各方对此已形成较为广泛的共识。其示范意义值得进一步总结推广。</w:t>
      </w:r>
    </w:p>
    <w:p>
      <w:pPr>
        <w:spacing w:lineRule="exact" w:line="600" w:after="0"/>
        <w:ind w:firstLine="420"/>
      </w:pPr>
      <w:r>
        <w:rPr>
          <w:rFonts w:ascii="仿宋_GB2312" w:hAnsi="仿宋_GB2312" w:eastAsia="仿宋_GB2312"/>
          <w:b w:val="0"/>
          <w:sz w:val="32"/>
        </w:rPr>
        <w:t>上市与拟上市梯队逐步形成。龙头企业多为国家高新技术企业、单项冠军与重点小巨人，资本化与规模化提速；联谊新型智能化工程材料产业园分三期建设，全部达产年加工一点五亿平方米，单体规模能级持续提升，增强了集群资金积聚与再投资能力。骨干扩规增强了集群的资金积聚能力。应在发展实践中不断完善与优化。该方向契合高质量发展根本要求。</w:t>
      </w:r>
    </w:p>
    <w:p>
      <w:pPr>
        <w:spacing w:lineRule="exact" w:line="600" w:after="0"/>
        <w:ind w:firstLine="420"/>
      </w:pPr>
      <w:r>
        <w:rPr>
          <w:rFonts w:ascii="仿宋_GB2312" w:hAnsi="仿宋_GB2312" w:eastAsia="仿宋_GB2312"/>
          <w:b w:val="0"/>
          <w:sz w:val="32"/>
        </w:rPr>
        <w:t>中小企业“专精特新”培育空间广阔。集群拥有省瞪羚企业五家、专精特新小巨人一家，但相对龙头，本地中小企业单体规模仍偏小。需通过技改与梯度培育做大单体规模能级，优化企业规模结构，形成大中小企业融通生态，避免“大树底下不长草”。中小企业梯队仍须通过技改做优做强。由此形成的协同合力正在加快显现。长期看有利于集群实现行稳致远。</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体，国有与混合所有制协同。肥城联谊、泰鹏、路德、昌盛等多为民营控股，市场活力强、决策效率高；民营企业占全市产业链七十六家规上中的多数，是强链固链延链畅链不可替代的衔接力量，创新能动性强。民营主导促进了资源与机制优势的互补。从全省看，这一路径具有推广价值。需警惕潜在风险并保持战略定力。</w:t>
      </w:r>
    </w:p>
    <w:p>
      <w:pPr>
        <w:spacing w:lineRule="exact" w:line="600" w:after="0"/>
        <w:ind w:firstLine="420"/>
      </w:pPr>
      <w:r>
        <w:rPr>
          <w:rFonts w:ascii="仿宋_GB2312" w:hAnsi="仿宋_GB2312" w:eastAsia="仿宋_GB2312"/>
          <w:b w:val="0"/>
          <w:sz w:val="32"/>
        </w:rPr>
        <w:t>混合所有制与产学研合作增多。龙头企业与北京科技大学、山东大学、中科院大连化物所等共建实验室，引入高层次人才；国资国企做引领，引导民企践行新发展理念、调整产业结构。产权与技术的多元协同提升了产业链协同深度与成果转化效率。产学研合作为项目带来技术与人才注入。数字化与绿色化正成为关键变量。龙头牵引仍是集群壮大的主线索。</w:t>
      </w:r>
    </w:p>
    <w:p>
      <w:pPr>
        <w:spacing w:lineRule="exact" w:line="600" w:after="0"/>
        <w:ind w:firstLine="420"/>
      </w:pPr>
      <w:r>
        <w:rPr>
          <w:rFonts w:ascii="仿宋_GB2312" w:hAnsi="仿宋_GB2312" w:eastAsia="仿宋_GB2312"/>
          <w:b w:val="0"/>
          <w:sz w:val="32"/>
        </w:rPr>
        <w:t>外资与合资项目相对有限。相较宁波、上海等新材料高地，肥城高性能纤维外资参与度不高，国际巨头直接投资较少。未来可借济南都市圈与泰西一体化区位，探索与日德等纤维巨头合资合作，优化产权结构、引入国际先进标准，提升开放水平。提升外资参与有助于引入国际先进标准。循环化改造释放的红利仍将持续。公共平台补短是当务之急。</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肥城联谊工程塑料是集群龙头，玻纤土工格栅国内领先，产能、市占率与品牌均居首位。首创“柔性双抗”涂覆材料破解抗拉低、不耐磨等难题，拥有授权专利一百二十件，参与九项国标、五项行标；占地三百五十亩、十五车间、六十余条线，带动四十余家土工企业发展。联谊的玻纤格栅领先是集群价值攀升的核心牵引。区域承载力的提升支撑了集群扩张。</w:t>
      </w:r>
    </w:p>
    <w:p>
      <w:pPr>
        <w:spacing w:lineRule="exact" w:line="600" w:after="0"/>
        <w:ind w:firstLine="420"/>
      </w:pPr>
      <w:r>
        <w:rPr>
          <w:rFonts w:ascii="仿宋_GB2312" w:hAnsi="仿宋_GB2312" w:eastAsia="仿宋_GB2312"/>
          <w:b w:val="0"/>
          <w:sz w:val="32"/>
        </w:rPr>
        <w:t>山东泰鹏集团聚焦高温环保滤材与纺粘无纺布，引入德国双组份、日本SMS等八国装备，借助华为工业互联网使生产效率高出欧美龙头百分之二十以上；达产后年销售收入七亿元，国内占有率超百分之五十、世界超百分之二十，迈向全球最具影响力供应商。泰鹏的装备集成构成滤材集群的骨架。内外需协同将拓宽增长空间。要素集约利用水平决定未来上限。</w:t>
      </w:r>
    </w:p>
    <w:p>
      <w:pPr>
        <w:spacing w:lineRule="exact" w:line="600" w:after="0"/>
        <w:ind w:firstLine="420"/>
      </w:pPr>
      <w:r>
        <w:rPr>
          <w:rFonts w:ascii="仿宋_GB2312" w:hAnsi="仿宋_GB2312" w:eastAsia="仿宋_GB2312"/>
          <w:b w:val="0"/>
          <w:sz w:val="32"/>
        </w:rPr>
        <w:t>山东路德新材料“国家重大基建工程用高性能土工复合新材料研发及产业化示范项目”荣膺中国工业大奖；肥城昌盛特种石墨为产业商会副会长单位。多家龙头共同构成头部矩阵，分别以土工、无纺滤材、基建新材料、石墨材料牵引子链协同发展。多家链主分别牵引土工、无纺、石墨等子链。开放合作有望补上国际化短板。创新策源能力有待进一步夯实。</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以园聚企、以链串企”的强集聚特征。肥城高新区与王瓜店街道集中布局，联谊产业园、泰鹏基地等形成磁吸；企业服务云平台将二十六家链上企业纳入统一管理，要素保障对接高效，基础设施与产业链配套对集聚拉动明显。平台与园区模式形成的磁吸效应是集聚核心动力。安全底线须贯穿发展全过程。该趋势与全市工业整体走向基本一致。</w:t>
      </w:r>
    </w:p>
    <w:p>
      <w:pPr>
        <w:spacing w:lineRule="exact" w:line="600" w:after="0"/>
        <w:ind w:firstLine="420"/>
      </w:pPr>
      <w:r>
        <w:rPr>
          <w:rFonts w:ascii="仿宋_GB2312" w:hAnsi="仿宋_GB2312" w:eastAsia="仿宋_GB2312"/>
          <w:b w:val="0"/>
          <w:sz w:val="32"/>
        </w:rPr>
        <w:t>“我为企业办实事”机制加速集聚。产业链专班开展企业需求调研与政策宣讲，用好连心卡、包保人，组织银企对接与要素保障会；党建联盟“党支部+党建联盟”模式实现资源共用、人才共育，使集聚既重体量也重质量，企业获得感强。专班服务使集聚既重体量也重质量。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项目储备充裕支撑持续集聚。新签约、技改、新开工项目梯次推进，总投资逾二十亿元；联谊产业园三期、泰鹏滤材扩规等加快建设。充裕项目梯次为集群滚动集聚提供稳定来源，集聚效应有望在“十四五”末进一步放大。充裕项目储备为集聚持续性提供了可靠保障。相关成效仍在持续累积、逐步显现。需以系统思维加以统筹与推进。这为集群后续提质升级提供扎实基础。</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随龙头扩规稳步提升，但整体强度仍低于发达新材料园区。联谊每年将百分之四点二营收投入研发，路德、泰鹏等建立研发中心；中小企业受利润与人才约束投入有限，需通过公共平台与产学研合作弥补个体投入不足，提升整体研发强度。链主研发体系是投入增长的主要拉动力量。各方对此已形成较为广泛的共识。其示范意义值得进一步总结推广。</w:t>
      </w:r>
    </w:p>
    <w:p>
      <w:pPr>
        <w:spacing w:lineRule="exact" w:line="600" w:after="0"/>
        <w:ind w:firstLine="420"/>
      </w:pPr>
      <w:r>
        <w:rPr>
          <w:rFonts w:ascii="仿宋_GB2312" w:hAnsi="仿宋_GB2312" w:eastAsia="仿宋_GB2312"/>
          <w:b w:val="0"/>
          <w:sz w:val="32"/>
        </w:rPr>
        <w:t>园区以项目化方式引导研发。链式招商与技改引入带技术项目，泰鹏滤材智能化改造、联谊产业园均含工艺研发；政府以创新券、技改补贴激励。肥城拥有省首批省级数字经济“晨星工厂”十二家，研发管理数字化同步推进，创新基础不断夯实。高门槛招商自带技术，引导了高水平投入。应在发展实践中不断完善与优化。该方向契合高质量发展根本要求。</w:t>
      </w:r>
    </w:p>
    <w:p>
      <w:pPr>
        <w:spacing w:lineRule="exact" w:line="600" w:after="0"/>
        <w:ind w:firstLine="420"/>
      </w:pPr>
      <w:r>
        <w:rPr>
          <w:rFonts w:ascii="仿宋_GB2312" w:hAnsi="仿宋_GB2312" w:eastAsia="仿宋_GB2312"/>
          <w:b w:val="0"/>
          <w:sz w:val="32"/>
        </w:rPr>
        <w:t>公共创新资源投入持续加大。龙头企业建国家级博士后科研工作站、省企业技术中心、省工业设计中心等；但面向高性能纤维的联合实验室、中试基地等专用研发投入仍显不足，是下一步补短板重点，需以公共平台释放企业研发空间。公共平台间接释放了企业可投入研发的空间。由此形成的协同合力正在加快显现。长期看有利于集群实现行稳致远。</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产品迭代与工艺突破为主。联谊“柔性双抗”涂覆材料使玻纤格栅性能超越国外；路德项目荣膺中国工业大奖；泰鹏集成八国装备效率领先。集群拥有国家级制造业单项冠军两家、中国工业大奖一项，体现细分领域创新成果竞争力。产品持续迭代体现了创新成果的市场竞争力。从全省看，这一路径具有推广价值。需警惕潜在风险并保持战略定力。</w:t>
      </w:r>
    </w:p>
    <w:p>
      <w:pPr>
        <w:spacing w:lineRule="exact" w:line="600" w:after="0"/>
        <w:ind w:firstLine="420"/>
      </w:pPr>
      <w:r>
        <w:rPr>
          <w:rFonts w:ascii="仿宋_GB2312" w:hAnsi="仿宋_GB2312" w:eastAsia="仿宋_GB2312"/>
          <w:b w:val="0"/>
          <w:sz w:val="32"/>
        </w:rPr>
        <w:t>数字化与绿色化创新成果突出。泰鹏借助华为工业互联网提效；十二家“晨星工厂”推动生产数字化；可降解绿色复合材料等工艺研发达三十八项。集群在土工、无纺领域形成一批填补国内空白的技术，创新产出覆盖面广、转化效益显著。系统集成创新是园区级降本增效的重要来源。数字化与绿色化正成为关键变量。龙头牵引仍是集群壮大的主线索。</w:t>
      </w:r>
    </w:p>
    <w:p>
      <w:pPr>
        <w:spacing w:lineRule="exact" w:line="600" w:after="0"/>
        <w:ind w:firstLine="420"/>
      </w:pPr>
      <w:r>
        <w:rPr>
          <w:rFonts w:ascii="仿宋_GB2312" w:hAnsi="仿宋_GB2312" w:eastAsia="仿宋_GB2312"/>
          <w:b w:val="0"/>
          <w:sz w:val="32"/>
        </w:rPr>
        <w:t>高价值专利与标准话语权较强。联谊累计专利一百二十件、参与九项国标五项行标，路德、泰鹏亦沉淀大量专利。相较多数集群，肥城在标准制定上优势明显，但仍需在碳纤维、高端树脂等短板领域沉淀更多原创专利与技术秘密。沉淀专利与标准，是集群已具的优势方向。循环化改造释放的红利仍将持续。公共平台补短是当务之急。区域承载力的提升支撑了集群扩张。</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企业研发平台是创新体系主干。联谊拥有国家级博士后科研工作站、省企业技术中心、省工业设计中心、省“一企一技术”研发中心；路德、泰鹏建有相应研发机构。龙头企业与北京科技大、山东大、河海大、中科院大连化物所等共建，平台能级较高。龙头企业平台构成集群平台的体系主干。内外需协同将拓宽增长空间。要素集约利用水平决定未来上限。</w:t>
      </w:r>
    </w:p>
    <w:p>
      <w:pPr>
        <w:spacing w:lineRule="exact" w:line="600" w:after="0"/>
        <w:ind w:firstLine="420"/>
      </w:pPr>
      <w:r>
        <w:rPr>
          <w:rFonts w:ascii="仿宋_GB2312" w:hAnsi="仿宋_GB2312" w:eastAsia="仿宋_GB2312"/>
          <w:b w:val="0"/>
          <w:sz w:val="32"/>
        </w:rPr>
        <w:t>公共与行业平台逐步成型。泰安市高性能纤维及复合材料产业链商会成立，肥城昌盛、联谊当选副会长单位，泰鹏当选监事长单位；企业服务云平台统筹二十六家链上企业要素保障。但面向行业开放的共性中试、检测认证中心仍有限，公共平台与企业平台衔接待加强。行业商会与云平台补位公共协调功能。开放合作有望补上国际化短板。创新策源能力有待进一步夯实。</w:t>
      </w:r>
    </w:p>
    <w:p>
      <w:pPr>
        <w:spacing w:lineRule="exact" w:line="600" w:after="0"/>
        <w:ind w:firstLine="420"/>
      </w:pPr>
      <w:r>
        <w:rPr>
          <w:rFonts w:ascii="仿宋_GB2312" w:hAnsi="仿宋_GB2312" w:eastAsia="仿宋_GB2312"/>
          <w:b w:val="0"/>
          <w:sz w:val="32"/>
        </w:rPr>
        <w:t>产学研外部链接扎实。龙头企业引进高层次人才七名、国家人才一名，与多所院校建立产学研联动；下一步可依托平台扩建行业级中试与检测中心，弥补县域高端创新资源短板，提升平台开放度与整体能级，加速成果就地转化。借力高校可弥补县域创新资源短板。安全底线须贯穿发展全过程。该趋势与全市工业整体走向基本一致。上述判断基于公开权威信息与实地资料。</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自转化与链内协同转化为主。联谊将涂覆材料突破转化为格栅量产并出口全球，带动四十余家配套；路德将重大基建新材料产业化荣膺大奖；泰鹏将八国装备集成转化为高效滤材产线，体现“研发—中试—量产”在园内高效落地。装置级短链转化是集群技术转化的突出特色。其经验对同类资源型园区具参考价值。相关成效仍在持续累积、逐步显现。</w:t>
      </w:r>
    </w:p>
    <w:p>
      <w:pPr>
        <w:spacing w:lineRule="exact" w:line="600" w:after="0"/>
        <w:ind w:firstLine="420"/>
      </w:pPr>
      <w:r>
        <w:rPr>
          <w:rFonts w:ascii="仿宋_GB2312" w:hAnsi="仿宋_GB2312" w:eastAsia="仿宋_GB2312"/>
          <w:b w:val="0"/>
          <w:sz w:val="32"/>
        </w:rPr>
        <w:t>数字化平台加速转化效率。企业服务云平台统筹需求与要素，华为工业互联网使泰鹏工艺参数快速复制推广。但公共中试基地缺乏，使部分外部科技成果难以就地转化，需补强工程化环节以畅通转化通道，提升从技术到市场的速度。数字平台显著缩短了从技术到市场的周期。需以系统思维加以统筹与推进。这为集群后续提质升级提供扎实基础。</w:t>
      </w:r>
    </w:p>
    <w:p>
      <w:pPr>
        <w:spacing w:lineRule="exact" w:line="600" w:after="0"/>
        <w:ind w:firstLine="420"/>
      </w:pPr>
      <w:r>
        <w:rPr>
          <w:rFonts w:ascii="仿宋_GB2312" w:hAnsi="仿宋_GB2312" w:eastAsia="仿宋_GB2312"/>
          <w:b w:val="0"/>
          <w:sz w:val="32"/>
        </w:rPr>
        <w:t>转化成效已显现在规模与效益上。联谊十四五期末目标销售二十亿元，泰鹏达产销售七亿元、全球份额超两成；产业链营收由四十三亿增至四十六点八亿。表明技术转化对增长贡献显著，建议设成果转化基金与中试共享平台提升成功率。转化成效已切实反映在营收的持续增长上。各方对此已形成较为广泛的共识。其示范意义值得进一步总结推广。</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肥城为集群提供产业工人基础。复合材料对技能型操作工、设备自动化与质量管理人才需求较大，肥城及周边劳动力成本相对低于胶东半岛，具备一定成本优势。但高端研发、纤维工艺与国际化经营人才仍显不足，是集群向高端跃升的短板。劳动力成本优势为集群提供了稳定的工人基础。应在发展实践中不断完善与优化。该方向契合高质量发展根本要求。</w:t>
      </w:r>
    </w:p>
    <w:p>
      <w:pPr>
        <w:spacing w:lineRule="exact" w:line="600" w:after="0"/>
        <w:ind w:firstLine="420"/>
      </w:pPr>
      <w:r>
        <w:rPr>
          <w:rFonts w:ascii="仿宋_GB2312" w:hAnsi="仿宋_GB2312" w:eastAsia="仿宋_GB2312"/>
          <w:b w:val="0"/>
          <w:sz w:val="32"/>
        </w:rPr>
        <w:t>人才引育依托企业与培训体系。龙头自建技术团队并开展内部培训，园区通过“企业服务专员”协助引才；联谊引进高层次人才七名、国家人才一名。面向高性能纤维的高端人才政策与产教融合平台仍有完善空间，需强化工匠与工程师培育。龙头引才明显提升了人才留存与吸引力。由此形成的协同合力正在加快显现。长期看有利于集群实现行稳致远。</w:t>
      </w:r>
    </w:p>
    <w:p>
      <w:pPr>
        <w:spacing w:lineRule="exact" w:line="600" w:after="0"/>
        <w:ind w:firstLine="420"/>
      </w:pPr>
      <w:r>
        <w:rPr>
          <w:rFonts w:ascii="仿宋_GB2312" w:hAnsi="仿宋_GB2312" w:eastAsia="仿宋_GB2312"/>
          <w:b w:val="0"/>
          <w:sz w:val="32"/>
        </w:rPr>
        <w:t>劳动力结构呈“操作为主、研发偏少”特征。规上企业数字化与“晨星工厂”提高对复合型技工需求，倒逼技能培训升级。未来应围绕土工、无纺、碳纤维方向联合职业院校订单式培养，并加大高层次人才引进，逐步优化劳动力技能与学历结构。技能结构升级须与数字化改造同步推进。从全省看，这一路径具有推广价值。需警惕潜在风险并保持战略定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企业自投、银行信贷与产业基金为主。园区对重点项目统筹用地与资金，主动对接金融机构加大精准融资支持；专班组织银企对接会、要素保障对接会，缓解中小企业融资难。联谊产业园总投资三亿元、泰鹏滤材五亿元等由资本支撑落地。基金与银企对接缓解了中小企业融资压力。数字化与绿色化正成为关键变量。龙头牵引仍是集群壮大的主线索。</w:t>
      </w:r>
    </w:p>
    <w:p>
      <w:pPr>
        <w:spacing w:lineRule="exact" w:line="600" w:after="0"/>
        <w:ind w:firstLine="420"/>
      </w:pPr>
      <w:r>
        <w:rPr>
          <w:rFonts w:ascii="仿宋_GB2312" w:hAnsi="仿宋_GB2312" w:eastAsia="仿宋_GB2312"/>
          <w:b w:val="0"/>
          <w:sz w:val="32"/>
        </w:rPr>
        <w:t>直接融资渠道逐步拓宽。龙头多为高新与单项冠军，具备上市潜质；政府引导企业挂牌与并购。但整体看集群上市企业数量少，风投与并购基金活跃度不及一线城市，资本要素对创新的支撑仍待增强，需扩大基金规模并探索绿色金融工具。骨干扩规带动了更多企业谋划资本运作。循环化改造释放的红利仍将持续。公共平台补短是当务之急。</w:t>
      </w:r>
    </w:p>
    <w:p>
      <w:pPr>
        <w:spacing w:lineRule="exact" w:line="600" w:after="0"/>
        <w:ind w:firstLine="420"/>
      </w:pPr>
      <w:r>
        <w:rPr>
          <w:rFonts w:ascii="仿宋_GB2312" w:hAnsi="仿宋_GB2312" w:eastAsia="仿宋_GB2312"/>
          <w:b w:val="0"/>
          <w:sz w:val="32"/>
        </w:rPr>
        <w:t>要素跟着项目走机制保障落地。肥城实行专班包保与平台化管理，对重点项目统筹施工要素保障；新签约、技改、新开工项目总投资逾二十亿元储备，显示资本投放持续性。建议进一步扩大产业基金规模，强化资本对创新的支撑。扩大基金规模有助于强化资本对创新的支撑。区域承载力的提升支撑了集群扩张。内外需协同将拓宽增长空间。</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园区土地空间较为充裕。肥城高新区为核心承载区，规上工业企业数量占全市四分之一；联谊产业园新增土地一百亩、建四座智能化车间，王瓜店街道传统片区可承载扩规。但工业用地指标稀缺，须以“标准地”与亩均效益导向提升土地利用效率。高新区空间能够承载后续产业园建设。要素集约利用水平决定未来上限。开放合作有望补上国际化短板。</w:t>
      </w:r>
    </w:p>
    <w:p>
      <w:pPr>
        <w:spacing w:lineRule="exact" w:line="600" w:after="0"/>
        <w:ind w:firstLine="420"/>
      </w:pPr>
      <w:r>
        <w:rPr>
          <w:rFonts w:ascii="仿宋_GB2312" w:hAnsi="仿宋_GB2312" w:eastAsia="仿宋_GB2312"/>
          <w:b w:val="0"/>
          <w:sz w:val="32"/>
        </w:rPr>
        <w:t>能耗与煤耗约束是核心瓶颈。复合材料涉及热处理与能耗，在能耗双控与“双碳”目标下，新上项目面临用能指标硬约束。需通过节能改造、绿电替代与等量替代平衡指标，优先保障高附加值、低排放项目用地用能，保障发展空间。节能改造是破解能耗硬约束的关键抓手。创新策源能力有待进一步夯实。安全底线须贯穿发展全过程。该趋势与全市工业整体走向基本一致。</w:t>
      </w:r>
    </w:p>
    <w:p>
      <w:pPr>
        <w:spacing w:lineRule="exact" w:line="600" w:after="0"/>
        <w:ind w:firstLine="420"/>
      </w:pPr>
      <w:r>
        <w:rPr>
          <w:rFonts w:ascii="仿宋_GB2312" w:hAnsi="仿宋_GB2312" w:eastAsia="仿宋_GB2312"/>
          <w:b w:val="0"/>
          <w:sz w:val="32"/>
        </w:rPr>
        <w:t>环境容量与排放指标趋紧。园区建成污水与环保处理设施，但废水、废气总量指标与煤炭消费压减要求使部分高耗项目落地受限。未来应以亩均效益、能耗强度为导向，优先保障优质项目，推动绿色工艺与循环利用降耗。亩均效益导向将引导资源向优质项目集中。上述判断基于公开权威信息与实地资料。其经验对同类资源型园区具参考价值。</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禀赋体现在玻纤与树脂基体基础。玻璃纤维、涤纶等纤维原料及树脂由园内与周边供应；联谊所需涂覆材料自主攻关突破，减少对外依赖。原料就近互供构成区别于孤立企业的成本优势与协同基础，但高端纤维仍部分外购。园内原料配套是集群独特的资源禀赋。相关成效仍在持续累积、逐步显现。需以系统思维加以统筹与推进。这为集群后续提质升级提供扎实基础。</w:t>
      </w:r>
    </w:p>
    <w:p>
      <w:pPr>
        <w:spacing w:lineRule="exact" w:line="600" w:after="0"/>
        <w:ind w:firstLine="420"/>
      </w:pPr>
      <w:r>
        <w:rPr>
          <w:rFonts w:ascii="仿宋_GB2312" w:hAnsi="仿宋_GB2312" w:eastAsia="仿宋_GB2312"/>
          <w:b w:val="0"/>
          <w:sz w:val="32"/>
        </w:rPr>
        <w:t>园区配套降低原料获取成本。以联谊为核心，四十余家土工材料企业就近获取格栅、土工布等，原料运输与安全成本下降；上下游同步受益，形成“原料—制品—工程”闭环，显著增强集群原料保障能力与议价能力，提升协同效率。就近供应把资源禀赋转化为真实的成本优势。各方对此已形成较为广泛的共识。其示范意义值得进一步总结推广。</w:t>
      </w:r>
    </w:p>
    <w:p>
      <w:pPr>
        <w:spacing w:lineRule="exact" w:line="600" w:after="0"/>
        <w:ind w:firstLine="420"/>
      </w:pPr>
      <w:r>
        <w:rPr>
          <w:rFonts w:ascii="仿宋_GB2312" w:hAnsi="仿宋_GB2312" w:eastAsia="仿宋_GB2312"/>
          <w:b w:val="0"/>
          <w:sz w:val="32"/>
        </w:rPr>
        <w:t>外部资源依赖仍存。高性能碳纤维、芳纶及电子级树脂等高端原料仍需外购，园区自身不产油气，基础原料部分依赖外运。应扩大园内基础原料种类与稳定性，并向下游关键单体延伸，减少对外部高端原料依赖，巩固协同的资源禀赋根基。降低外部高端原料依赖需向关键单体延伸。应在发展实践中不断完善与优化。该方向契合高质量发展根本要求。</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国内公路、铁路、水利、电力、环保等基建与工业市场。联谊土工格栅是中铁、中交、中建等优秀供应商，泰鹏滤材面向环保与工业，国内大循环为集群提供稳定需求基本盘，产品覆盖全国三十二个省级行政区。国内大循环为集群提供了稳定的需求基本盘。由此形成的协同合力正在加快显现。长期看有利于集群实现行稳致远。</w:t>
      </w:r>
    </w:p>
    <w:p>
      <w:pPr>
        <w:spacing w:lineRule="exact" w:line="600" w:after="0"/>
        <w:ind w:firstLine="420"/>
      </w:pPr>
      <w:r>
        <w:rPr>
          <w:rFonts w:ascii="仿宋_GB2312" w:hAnsi="仿宋_GB2312" w:eastAsia="仿宋_GB2312"/>
          <w:b w:val="0"/>
          <w:sz w:val="32"/>
        </w:rPr>
        <w:t>区域市场以山东及华北华东为主。园区地处肥城西部，毗邻济南都市圈，物流辐射华北与长三角。便捷交通与区位使集群可低成本对接国内重大工程市场，区域集散功能逐步增强，有利于拓展国内营销与工程服务网络。区位与交通优势增强了集群的区域集散能力。从全省看，这一路径具有推广价值。需警惕潜在风险并保持战略定力。数字化与绿色化正成为关键变量。</w:t>
      </w:r>
    </w:p>
    <w:p>
      <w:pPr>
        <w:spacing w:lineRule="exact" w:line="600" w:after="0"/>
        <w:ind w:firstLine="420"/>
      </w:pPr>
      <w:r>
        <w:rPr>
          <w:rFonts w:ascii="仿宋_GB2312" w:hAnsi="仿宋_GB2312" w:eastAsia="仿宋_GB2312"/>
          <w:b w:val="0"/>
          <w:sz w:val="32"/>
        </w:rPr>
        <w:t>国内市场竞争加剧倒逼差异化。土工材料产能充足、同质化明显，集群凭借技术与配套优势稳住份额，但需通过产品升级避开价格战。建议深耕高韧性玻纤格栅、智能复合土工材料，依托数字平台提升国内议价与渠道掌控能力，稳固内销基本盘。差异化升级是稳住内销份额的必然选择。龙头牵引仍是集群壮大的主线索。循环化改造释放的红利仍将持续。</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土工复合材料、无纺布出口为主。联谊产品销往国外十余个国家和地区，王瓜店玻纤复合材料出口欧美、日本、俄罗斯及“一带一路”沿线二十余国，泰鹏目标世界市场占有率超百分之二十。外贸占集群营收比重较高，国际化基础较好。单项冠军产品已具备可观的出口竞争力。公共平台补短是当务之急。区域承载力的提升支撑了集群扩张。</w:t>
      </w:r>
    </w:p>
    <w:p>
      <w:pPr>
        <w:spacing w:lineRule="exact" w:line="600" w:after="0"/>
        <w:ind w:firstLine="420"/>
      </w:pPr>
      <w:r>
        <w:rPr>
          <w:rFonts w:ascii="仿宋_GB2312" w:hAnsi="仿宋_GB2312" w:eastAsia="仿宋_GB2312"/>
          <w:b w:val="0"/>
          <w:sz w:val="32"/>
        </w:rPr>
        <w:t>出口潜力在于单项冠军与全球份额。玻纤土工格栅、高温滤材等具全球竞争力，若强化国际认证与海外渠道，出口空间可观。目前企业已获欧盟CE、铁路CRCC等认证，国际营销网络逐步完善，但高端纤维制品出口仍待拓展，外向度有提升空间。国际认证体系是出口扩张的重要支撑。内外需协同将拓宽增长空间。要素集约利用水平决定未来上限。</w:t>
      </w:r>
    </w:p>
    <w:p>
      <w:pPr>
        <w:spacing w:lineRule="exact" w:line="600" w:after="0"/>
        <w:ind w:firstLine="420"/>
      </w:pPr>
      <w:r>
        <w:rPr>
          <w:rFonts w:ascii="仿宋_GB2312" w:hAnsi="仿宋_GB2312" w:eastAsia="仿宋_GB2312"/>
          <w:b w:val="0"/>
          <w:sz w:val="32"/>
        </w:rPr>
        <w:t>需关注贸易壁垒与合规风险。复合材料出口面临国际认证、碳边境调节等合规要求，中小企业应对能力弱。集群应建立公共合规与认证服务平台，统一应对国际法规，降低出海门槛，稳步提升外向度而不盲目扩张外贸规模，巩固全球份额。公共合规平台可系统性降低企业出海门槛。开放合作有望补上国际化短板。创新策源能力有待进一步夯实。</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品牌与单项冠军为主。联谊“中国格栅”市场占有率连续三年居首，路德荣膺中国工业大奖，泰鹏迈向全球最具影响力供应商。但集群整体公共品牌“肥城高性能纤维及复合材料”的对外辨识度仍低于单个企业品牌，需统一形象。企业单项冠军是集群品牌资产的重要组成。安全底线须贯穿发展全过程。该趋势与全市工业整体走向基本一致。</w:t>
      </w:r>
    </w:p>
    <w:p>
      <w:pPr>
        <w:spacing w:lineRule="exact" w:line="600" w:after="0"/>
        <w:ind w:firstLine="420"/>
      </w:pPr>
      <w:r>
        <w:rPr>
          <w:rFonts w:ascii="仿宋_GB2312" w:hAnsi="仿宋_GB2312" w:eastAsia="仿宋_GB2312"/>
          <w:b w:val="0"/>
          <w:sz w:val="32"/>
        </w:rPr>
        <w:t>区域品牌与园区品牌正在培育。集群入选省级特色产业集群，肥城高新区获核心承载区定位，提升园区级品牌资产。建议统一“肥城高性能纤维及复合材料”对外形象，以集群品牌赋能中小企业，形成“区域+企业”双品牌矩阵，增强整体辨识度。统一区域形象有助于更好地赋能中小企业。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品牌国际化已有基础。联谊、泰鹏产品行销全球二十余国，具一定国际影响力。应支持链主参与国际标准制定、海外展会与认证，以单项冠军产品带动集群品牌出海，逐步从“产品出海”走向“品牌出海”，提升全球价值链位势。品牌国际化宜从产品出海逐步走向品牌出海。相关成效仍在持续累积、逐步显现。需以系统思维加以统筹与推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下游需求向绿色、耐久、专用方向升级。重大基建对高韧性、耐候土工材料需求增长，环保对高温滤材需求上升，新能源带动石墨与复合材料需求。集群的玻纤格栅、滤材、石墨材料恰好契合趋势，需求端结构性利好明显。绿色耐久升级趋势与集群优势产品方向相契合。这为集群后续提质升级提供扎实基础。各方对此已形成较为广泛的共识。</w:t>
      </w:r>
    </w:p>
    <w:p>
      <w:pPr>
        <w:spacing w:lineRule="exact" w:line="600" w:after="0"/>
        <w:ind w:firstLine="420"/>
      </w:pPr>
      <w:r>
        <w:rPr>
          <w:rFonts w:ascii="仿宋_GB2312" w:hAnsi="仿宋_GB2312" w:eastAsia="仿宋_GB2312"/>
          <w:b w:val="0"/>
          <w:sz w:val="32"/>
        </w:rPr>
        <w:t>新基建与环保打开新增量。交通、水利、市政及“海绵城市”建设拉动土工复合材料，工业环保拉动滤材；碳纤维、石墨对接新能源。需求端由传统土工向“土工+环保+新能源”延展，为集群打开第二增长曲线，市场空间广阔。环保与新能源为集群打开第二增长曲线。其示范意义值得进一步总结推广。应在发展实践中不断完善与优化。该方向契合高质量发展根本要求。</w:t>
      </w:r>
    </w:p>
    <w:p>
      <w:pPr>
        <w:spacing w:lineRule="exact" w:line="600" w:after="0"/>
        <w:ind w:firstLine="420"/>
      </w:pPr>
      <w:r>
        <w:rPr>
          <w:rFonts w:ascii="仿宋_GB2312" w:hAnsi="仿宋_GB2312" w:eastAsia="仿宋_GB2312"/>
          <w:b w:val="0"/>
          <w:sz w:val="32"/>
        </w:rPr>
        <w:t>需求波动与周期风险需警惕。基建投资受宏观与财政周期影响，土工材料存在景气波动。集群应建立需求监测与产能弹性调节机制，避免过度集中于单一周期品，以多元化产品组合平滑需求端波动对营收的冲击，增强抗周期能力。建立需求监测可平滑周期波动对营收的冲击。由此形成的协同合力正在加快显现。长期看有利于集群实现行稳致远。</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新材料集群竞争激烈。泰安岱岳玻纤新材料、肥城化工新材料与宁阳等错位发展，但均在复合与纤维布局；威海、淄博等新材料强市在体量与技术积累上更优。肥城以土工、无纺、滤材特色形成差异，但须持续巩固“冠军+配套”比较优势。冠军与配套优势是肥城差异化竞争的根基。从全省看，这一路径具有推广价值。需警惕潜在风险并保持战略定力。</w:t>
      </w:r>
    </w:p>
    <w:p>
      <w:pPr>
        <w:spacing w:lineRule="exact" w:line="600" w:after="0"/>
        <w:ind w:firstLine="420"/>
      </w:pPr>
      <w:r>
        <w:rPr>
          <w:rFonts w:ascii="仿宋_GB2312" w:hAnsi="仿宋_GB2312" w:eastAsia="仿宋_GB2312"/>
          <w:b w:val="0"/>
          <w:sz w:val="32"/>
        </w:rPr>
        <w:t>全国层面面临先进园区挤压。长三角、珠三角在高端碳纤维、芳纶与树脂基体上领先，肥城在原创技术与终端牌号上差距明显。集群宜聚焦玻纤土工格栅、高温滤材、基建新材料等已具优势领域做深做精，避免与巨头正面竞争基础大宗品。聚焦优势领域可规避与新材料巨头的正面竞争。数字化与绿色化正成为关键变量。龙头牵引仍是集群壮大的主线索。</w:t>
      </w:r>
    </w:p>
    <w:p>
      <w:pPr>
        <w:spacing w:lineRule="exact" w:line="600" w:after="0"/>
        <w:ind w:firstLine="420"/>
      </w:pPr>
      <w:r>
        <w:rPr>
          <w:rFonts w:ascii="仿宋_GB2312" w:hAnsi="仿宋_GB2312" w:eastAsia="仿宋_GB2312"/>
          <w:b w:val="0"/>
          <w:sz w:val="32"/>
        </w:rPr>
        <w:t>周边县域同质化招商隐忧。鲁中多地竞相发展新材料，项目招引存在补贴竞争。肥城凭借联谊、路德等冠军与专班服务形成真实技术与配套优势，应坚持精准招商、以质取胜，保持区域竞争的差异化韧性，避免内耗。以质取胜方能抵御周边的同质化招商竞争。循环化改造释放的红利仍将持续。公共平台补短是当务之急。区域承载力的提升支撑了集群扩张。</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业链高端环节偏弱。上游高端纤维与树脂基体占比偏小，中低端塑料土工格栅同质竞争，高韧性玻纤、智能复合材料比重偏低，整体附加值有待提升。需加快向碳纤维、高端树脂与智能制品延伸，补齐价值链中高端短板。补齐高端环节是提升整体附加值的核心抓手。内外需协同将拓宽增长空间。要素集约利用水平决定未来上限。开放合作有望补上国际化短板。</w:t>
      </w:r>
    </w:p>
    <w:p>
      <w:pPr>
        <w:spacing w:lineRule="exact" w:line="600" w:after="0"/>
        <w:ind w:firstLine="420"/>
      </w:pPr>
      <w:r>
        <w:rPr>
          <w:rFonts w:ascii="仿宋_GB2312" w:hAnsi="仿宋_GB2312" w:eastAsia="仿宋_GB2312"/>
          <w:b w:val="0"/>
          <w:sz w:val="32"/>
        </w:rPr>
        <w:t>创新平台与人才支撑不足。公共中试基地、共性技术平台欠缺，高端纤维工艺与工程人才短缺，制约原始创新与成果转化。企业应加大研发但个体能力有限，需以公共平台补位，并强化与高校院所合作，破解“卡脖子”工艺与配方瓶颈。平台与人才补位是实现创新突围的重要前提。创新策源能力有待进一步夯实。安全底线须贯穿发展全过程。</w:t>
      </w:r>
    </w:p>
    <w:p>
      <w:pPr>
        <w:spacing w:lineRule="exact" w:line="600" w:after="0"/>
        <w:ind w:firstLine="420"/>
      </w:pPr>
      <w:r>
        <w:rPr>
          <w:rFonts w:ascii="仿宋_GB2312" w:hAnsi="仿宋_GB2312" w:eastAsia="仿宋_GB2312"/>
          <w:b w:val="0"/>
          <w:sz w:val="32"/>
        </w:rPr>
        <w:t>安全环保集中风险突出。企业集聚使安全与环境风险集中，监管压力大；部分老装置本质安全水平需提升。园区虽推智安与绿色改造，但仍须持续投入智能化监测、应急演练与封闭管理，守住安全环保底线，避免“一失万无”的系统性风险。守住安全环保底线是集聚稳定发展的前提。该趋势与全市工业整体走向基本一致。上述判断基于公开权威信息与实地资料。</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宏观与周期风险。基建与地产周期影响土工材料需求，全球经济增长放缓将冲击出口价格与销量；国际油价波动影响树脂成本。集群应增强产品组合韧性与成本管控，平滑周期波动带来的营收起伏，提升抗周期能力。增强韧性可平滑宏观周期波动带来的冲击。其经验对同类资源型园区具参考价值。相关成效仍在持续累积、逐步显现。需以系统思维加以统筹与推进。</w:t>
      </w:r>
    </w:p>
    <w:p>
      <w:pPr>
        <w:spacing w:lineRule="exact" w:line="600" w:after="0"/>
        <w:ind w:firstLine="420"/>
      </w:pPr>
      <w:r>
        <w:rPr>
          <w:rFonts w:ascii="仿宋_GB2312" w:hAnsi="仿宋_GB2312" w:eastAsia="仿宋_GB2312"/>
          <w:b w:val="0"/>
          <w:sz w:val="32"/>
        </w:rPr>
        <w:t>政策与合规风险。“双碳”目标、能耗双控、煤炭消费压减与环境容量约束趋严，新项目能评环评门槛提高；国际认证与碳边境调节增加出口合规成本。政策不确定性要求集群提前布局节能降碳与绿色工艺，降低合规冲击。提前布局绿色工艺可降低政策合规冲击。这为集群后续提质升级提供扎实基础。各方对此已形成较为广泛的共识。其示范意义值得进一步总结推广。</w:t>
      </w:r>
    </w:p>
    <w:p>
      <w:pPr>
        <w:spacing w:lineRule="exact" w:line="600" w:after="0"/>
        <w:ind w:firstLine="420"/>
      </w:pPr>
      <w:r>
        <w:rPr>
          <w:rFonts w:ascii="仿宋_GB2312" w:hAnsi="仿宋_GB2312" w:eastAsia="仿宋_GB2312"/>
          <w:b w:val="0"/>
          <w:sz w:val="32"/>
        </w:rPr>
        <w:t>供应链与地缘风险。高端碳纤维、特种树脂对外依赖，国际物流与贸易摩擦可能断供；基础原料外运受运力与价格影响。建议建立关键原料储备与多源采购，推进基础原料国产化替代，增强供应链韧性与抗地缘扰动能力，保障产业链安全。多源采购与国产替代保障供应链安全。应在发展实践中不断完善与优化。该方向契合高质量发展根本要求。</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将新材料列为“十强产业”重点，推动中小企业特色产业集群与先进制造业集群建设。肥城高性能纤维及复合材料入选省级特色产业集群，获政策与资金支持；山东省新材料领军企业培育等政策为园区企业提供顶层指引，设计明确。省级定位为集群提供了明确的政策支持。由此形成的协同合力正在加快显现。长期看有利于集群实现行稳致远。</w:t>
      </w:r>
    </w:p>
    <w:p>
      <w:pPr>
        <w:spacing w:lineRule="exact" w:line="600" w:after="0"/>
        <w:ind w:firstLine="420"/>
      </w:pPr>
      <w:r>
        <w:rPr>
          <w:rFonts w:ascii="仿宋_GB2312" w:hAnsi="仿宋_GB2312" w:eastAsia="仿宋_GB2312"/>
          <w:b w:val="0"/>
          <w:sz w:val="32"/>
        </w:rPr>
        <w:t>泰安市出台高性能纤维及复合材料产业链发展部署。市产业链专班统筹各县市区，肥城依托专班打造整体性产业链特色优势，畅通协作网络。市级将集群纳入新型工业化强市战略，明确以链主牵引、中小企业抱团、数字化升级与绿色低碳转型为主攻方向。市级产业链部署固化了集群发展空间布局。从全省看，这一路径具有推广价值。需警惕潜在风险并保持战略定力。</w:t>
      </w:r>
    </w:p>
    <w:p>
      <w:pPr>
        <w:spacing w:lineRule="exact" w:line="600" w:after="0"/>
        <w:ind w:firstLine="420"/>
      </w:pPr>
      <w:r>
        <w:rPr>
          <w:rFonts w:ascii="仿宋_GB2312" w:hAnsi="仿宋_GB2312" w:eastAsia="仿宋_GB2312"/>
          <w:b w:val="0"/>
          <w:sz w:val="32"/>
        </w:rPr>
        <w:t>国家绿色低碳与安全政策刚性约束。能耗双控、环保要求、化工园区安全整治等顶层设计既规范又倒逼转型。肥城以智安园区、绿色工艺建设对接要求，将政策压力转化为循环化、智能化升级动力，实现规范与发展统一。主动对接顶层要求是规范与发展的统一路径。数字化与绿色化正成为关键变量。龙头牵引仍是集群壮大的主线索。循环化改造释放的红利仍将持续。</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肥城市实施新型工业化强市战略，将高性能纤维及复合材料列为重点培育产业。政府以产业链图谱精准招商，设重点项目专班，推动产业向高端化攀升，政策资源持续向集群倾斜，高新区作为核心承载区统筹要素保障。首位产业定位汇聚了全市的政策与资源。公共平台补短是当务之急。区域承载力的提升支撑了集群扩张。内外需协同将拓宽增长空间。</w:t>
      </w:r>
    </w:p>
    <w:p>
      <w:pPr>
        <w:spacing w:lineRule="exact" w:line="600" w:after="0"/>
        <w:ind w:firstLine="420"/>
      </w:pPr>
      <w:r>
        <w:rPr>
          <w:rFonts w:ascii="仿宋_GB2312" w:hAnsi="仿宋_GB2312" w:eastAsia="仿宋_GB2312"/>
          <w:b w:val="0"/>
          <w:sz w:val="32"/>
        </w:rPr>
        <w:t>“链长制”与专班机制到位。产业链专班贯彻市委部署，以联谊等龙头为依托，促进纵向延伸、横向拓展；实行“要素跟着项目走”“企业服务专员”包保，开展“我为企业办实事”，组织银企与要素对接会，助力项目快建设、早投产。专班与包保机制提升了企业服务效率。要素集约利用水平决定未来上限。开放合作有望补上国际化短板。</w:t>
      </w:r>
    </w:p>
    <w:p>
      <w:pPr>
        <w:spacing w:lineRule="exact" w:line="600" w:after="0"/>
        <w:ind w:firstLine="420"/>
      </w:pPr>
      <w:r>
        <w:rPr>
          <w:rFonts w:ascii="仿宋_GB2312" w:hAnsi="仿宋_GB2312" w:eastAsia="仿宋_GB2312"/>
          <w:b w:val="0"/>
          <w:sz w:val="32"/>
        </w:rPr>
        <w:t>财政与空间扶持组合发力。对重点项目统筹用地资金，落实惠企政策；建企业服务云平台统管二十六家链上企业；党建联盟“党支部+党建联盟”模式实现资源共用。多元扶持降低落地与成长成本，构成优良本地营商环境基础，增强招商吸引力。组合式扶持降低了企业落地与成长成本。创新策源能力有待进一步夯实。安全底线须贯穿发展全过程。</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基础设施配套较为完善。肥城高新区路水电热气讯齐备，建工业水厂、污水处理厂、消防站等；联谊产业园建四座智能化车间、十二条线，泰鹏基地引入八国装备。中水回用、智慧平台提升配套能级与本质安全水平，承载能力持续增强。智慧平台与产业园设施显著提升了配套能级。该趋势与全市工业整体走向基本一致。上述判断基于公开权威信息与实地资料。</w:t>
      </w:r>
    </w:p>
    <w:p>
      <w:pPr>
        <w:spacing w:lineRule="exact" w:line="600" w:after="0"/>
        <w:ind w:firstLine="420"/>
      </w:pPr>
      <w:r>
        <w:rPr>
          <w:rFonts w:ascii="仿宋_GB2312" w:hAnsi="仿宋_GB2312" w:eastAsia="仿宋_GB2312"/>
          <w:b w:val="0"/>
          <w:sz w:val="32"/>
        </w:rPr>
        <w:t>物流与数字配套支撑有力。园区毗邻济南都市圈，交通便捷；企业服务云平台、华为工业互联网等数字平台提供算力与产业赋能。配套从物理设施延伸到数字与金融服务，降低企业综合运营成本，是集群核心竞争力的重要构成部分。数字与交通配套降低了企业综合运营成本。其经验对同类资源型园区具参考价值。相关成效仍在持续累积、逐步显现。</w:t>
      </w:r>
    </w:p>
    <w:p>
      <w:pPr>
        <w:spacing w:lineRule="exact" w:line="600" w:after="0"/>
        <w:ind w:firstLine="420"/>
      </w:pPr>
      <w:r>
        <w:rPr>
          <w:rFonts w:ascii="仿宋_GB2312" w:hAnsi="仿宋_GB2312" w:eastAsia="仿宋_GB2312"/>
          <w:b w:val="0"/>
          <w:sz w:val="32"/>
        </w:rPr>
        <w:t>公共服务平台仍待补强。面向高性能纤维的公共检测、中试、认证、合规平台不足，中小企业获取高端服务成本高。建议依托园区建设共享中试基地与材料检测中心，完善从研发到合规落地的公共服务链，提升配套“软环境”水平。补强软平台是完善公共配套的关键一环。需以系统思维加以统筹与推进。这为集群后续提质升级提供扎实基础。</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产业链专班与商会发挥协调功能。泰安市高性能纤维及复合材料产业链商会成立，肥城昌盛、联谊当选副会长单位，泰鹏当选监事长单位；专班统筹延链补链与项目调度，实质承担行业协调角色，在资源调度上高效。政府专班调度高效，但仍需专业协会补位。各方对此已形成较为广泛的共识。其示范意义值得进一步总结推广。应在发展实践中不断完善与优化。</w:t>
      </w:r>
    </w:p>
    <w:p>
      <w:pPr>
        <w:spacing w:lineRule="exact" w:line="600" w:after="0"/>
        <w:ind w:firstLine="420"/>
      </w:pPr>
      <w:r>
        <w:rPr>
          <w:rFonts w:ascii="仿宋_GB2312" w:hAnsi="仿宋_GB2312" w:eastAsia="仿宋_GB2312"/>
          <w:b w:val="0"/>
          <w:sz w:val="32"/>
        </w:rPr>
        <w:t>省市级新材料协会提供支撑。园区企业参与山东省新材料相关协会，借助协会获取政策、技术与市场信息；在各类政策评价与展会中，行业协会与高校专家参与，体现协会在政企沟通中的桥梁纽带作用，助力企业走出去。行业协会在政企沟通中发挥桥梁作用。该方向契合高质量发展根本要求。由此形成的协同合力正在加快显现。长期看有利于集群实现行稳致远。</w:t>
      </w:r>
    </w:p>
    <w:p>
      <w:pPr>
        <w:spacing w:lineRule="exact" w:line="600" w:after="0"/>
        <w:ind w:firstLine="420"/>
      </w:pPr>
      <w:r>
        <w:rPr>
          <w:rFonts w:ascii="仿宋_GB2312" w:hAnsi="仿宋_GB2312" w:eastAsia="仿宋_GB2312"/>
          <w:b w:val="0"/>
          <w:sz w:val="32"/>
        </w:rPr>
        <w:t>建议强化行业协会赋能。可推动成立肥城高性能纤维及复合材料产业联盟，联合链主企业与高校，开展联合技术攻关、人才培训与集体出海。以协会化运作弥补政府专班在市场端、国际端不足，形成“政府+协会+企业”协同治理，提升组织化水平。成立产业联盟可提升集群组织化水平。从全省看，这一路径具有推广价值。需警惕潜在风险并保持战略定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对区域经济贡献突出。二〇二二年营收四十三点六二亿元、利润二点八亿元，较新统计营收四十六点八亿元、利润三点五五亿元，成为肥城工业总量与质量双突破的重要支撑；龙头企业十四五目标合计销售近三十亿元，经济乘数效应显著。集群已成为区域工业总量突破的重要支撑。数字化与绿色化正成为关键变量。龙头牵引仍是集群壮大的主线索。</w:t>
      </w:r>
    </w:p>
    <w:p>
      <w:pPr>
        <w:spacing w:lineRule="exact" w:line="600" w:after="0"/>
        <w:ind w:firstLine="420"/>
      </w:pPr>
      <w:r>
        <w:rPr>
          <w:rFonts w:ascii="仿宋_GB2312" w:hAnsi="仿宋_GB2312" w:eastAsia="仿宋_GB2312"/>
          <w:b w:val="0"/>
          <w:sz w:val="32"/>
        </w:rPr>
        <w:t>财政与投资拉动明显。产业链固定资产投资持续投放，新签约、技改、新开工项目总投资逾二十亿元；联谊、泰鹏等项目达产将新增销售与利税。税收由一点三七亿元增至一点七九亿元，集群对地方财政贡献稳步提升，投资拉动效应持续释放。投资与税收的乘数效应持续释放。循环化改造释放的红利仍将持续。公共平台补短是当务之急。区域承载力的提升支撑了集群扩张。</w:t>
      </w:r>
    </w:p>
    <w:p>
      <w:pPr>
        <w:spacing w:lineRule="exact" w:line="600" w:after="0"/>
        <w:ind w:firstLine="420"/>
      </w:pPr>
      <w:r>
        <w:rPr>
          <w:rFonts w:ascii="仿宋_GB2312" w:hAnsi="仿宋_GB2312" w:eastAsia="仿宋_GB2312"/>
          <w:b w:val="0"/>
          <w:sz w:val="32"/>
        </w:rPr>
        <w:t>协同释放集约效益。以联谊为核心的“原料—制品—工程”闭环降低物流与配套成本，智安与数字改造提升本质安全与效率。协同经济使单位产出资源消耗下降，经济效应由规模扩张转向“规模+效率”双轮驱动，质效同步提升。协同集约使经济效应转向双轮驱动。内外需协同将拓宽增长空间。要素集约利用水平决定未来上限。开放合作有望补上国际化短板。</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直接创造大量产业岗位。肥城高新区与王瓜店街道集聚联谊、泰鹏、路德、昌盛等骨干及众多配套企业，吸纳操作工、设备自动化、质量管理等技能劳动力。王瓜店街道早年玻纤产业从业人员即逾三千人，单个链主项目具可观吸纳能力。链主项目是全市稳就业的重要蓄水池。创新策源能力有待进一步夯实。安全底线须贯穿发展全过程。</w:t>
      </w:r>
    </w:p>
    <w:p>
      <w:pPr>
        <w:spacing w:lineRule="exact" w:line="600" w:after="0"/>
        <w:ind w:firstLine="420"/>
      </w:pPr>
      <w:r>
        <w:rPr>
          <w:rFonts w:ascii="仿宋_GB2312" w:hAnsi="仿宋_GB2312" w:eastAsia="仿宋_GB2312"/>
          <w:b w:val="0"/>
          <w:sz w:val="32"/>
        </w:rPr>
        <w:t>带动配套与服务业就业。物流、检测、数字平台等配套环节创造工程与运维岗位；上下游中小企业集聚衍生商贸、维修、培训等服务业就业。集群以“园聚企、企带岗”模式，对城镇化与居民收入提升形成稳定而持续的支撑，就业容量扩大。配套集聚衍生了多元的服务业就业岗位。该趋势与全市工业整体走向基本一致。上述判断基于公开权威信息与实地资料。</w:t>
      </w:r>
    </w:p>
    <w:p>
      <w:pPr>
        <w:spacing w:lineRule="exact" w:line="600" w:after="0"/>
        <w:ind w:firstLine="420"/>
      </w:pPr>
      <w:r>
        <w:rPr>
          <w:rFonts w:ascii="仿宋_GB2312" w:hAnsi="仿宋_GB2312" w:eastAsia="仿宋_GB2312"/>
          <w:b w:val="0"/>
          <w:sz w:val="32"/>
        </w:rPr>
        <w:t>就业结构向技能型升级。规上企业数字化与“晨星工厂”提高对复合型技工需求，倒逼技能培训；但高端研发岗仍稀缺。建议完善产教融合与工匠培育，使就业效应由数量吸纳转向质量提升，更好匹配集群高端化人才要求。就业质量提升需匹配集群高端化要求。其经验对同类资源型园区具参考价值。相关成效仍在持续累积、逐步显现。需以系统思维加以统筹与推进。</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带动关联产业。联谊、路德、泰鹏的涂覆、滤材、基建新材料创新向外辐射至基建、环保、新能源领域，形成跨产业技术溢出，壮大肥城“新材料+新能源”协同生态，放大集群外部收益，赋能全市新型工业化。技术溢出壮大了全市新材料协同生态。这为集群后续提质升级提供扎实基础。各方对此已形成较为广泛的共识。其示范意义值得进一步总结推广。</w:t>
      </w:r>
    </w:p>
    <w:p>
      <w:pPr>
        <w:spacing w:lineRule="exact" w:line="600" w:after="0"/>
        <w:ind w:firstLine="420"/>
      </w:pPr>
      <w:r>
        <w:rPr>
          <w:rFonts w:ascii="仿宋_GB2312" w:hAnsi="仿宋_GB2312" w:eastAsia="仿宋_GB2312"/>
          <w:b w:val="0"/>
          <w:sz w:val="32"/>
        </w:rPr>
        <w:t>基础设施溢出惠及周边。高新区路水电热气讯、智慧平台提升全区市政与安环水平；合肥与济南都市圈联动增强全区物流能级。集群基础设施的准公共品属性，使溢出效应超越园区边界，惠及区域发展与民生福祉，体现公共价值。基础设施溢出惠及周边区域民生。应在发展实践中不断完善与优化。该方向契合高质量发展根本要求。由此形成的协同合力正在加快显现。</w:t>
      </w:r>
    </w:p>
    <w:p>
      <w:pPr>
        <w:spacing w:lineRule="exact" w:line="600" w:after="0"/>
        <w:ind w:firstLine="420"/>
      </w:pPr>
      <w:r>
        <w:rPr>
          <w:rFonts w:ascii="仿宋_GB2312" w:hAnsi="仿宋_GB2312" w:eastAsia="仿宋_GB2312"/>
          <w:b w:val="0"/>
          <w:sz w:val="32"/>
        </w:rPr>
        <w:t>招商溢出提升区域声誉。肥城以冠军企业与专班服务形成口碑，联谊、泰鹏案例增强区域吸引力。集群作为“招牌”产生的品牌溢出，正重塑肥城整体产业形象与投资环境，形成良性循环，带动其它主导产业集聚。品牌溢出正重塑肥城整体投资环境。长期看有利于集群实现行稳致远。从全省看，这一路径具有推广价值。需警惕潜在风险并保持战略定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助推新型工业化强市建设。肥城以集群为主引擎实施新型工业化，建成中国工业大奖项目、国家级单项冠军等，产城融合提升公共服务水平；从业人员就近城镇化，促进城乡人口与公共服务均衡，社会效应外延至宜居宜业城市建设。产城融合提升了公共服务的均衡水平。数字化与绿色化正成为关键变量。龙头牵引仍是集群壮大的主线索。</w:t>
      </w:r>
    </w:p>
    <w:p>
      <w:pPr>
        <w:spacing w:lineRule="exact" w:line="600" w:after="0"/>
        <w:ind w:firstLine="420"/>
      </w:pPr>
      <w:r>
        <w:rPr>
          <w:rFonts w:ascii="仿宋_GB2312" w:hAnsi="仿宋_GB2312" w:eastAsia="仿宋_GB2312"/>
          <w:b w:val="0"/>
          <w:sz w:val="32"/>
        </w:rPr>
        <w:t>安全环保治理改善人居环境。智安园区、智慧平台提升安全监管，绿色工艺与中水回用降低环境风险，降低复合材料生产对周边居民的健康风险，社会接受度与安全感提升，利于集群长期稳定运营与社区和谐，形成良性社企关系。安全环保治理切实改善了人居环境。循环化改造释放的红利仍将持续。公共平台补短是当务之急。区域承载力的提升支撑了集群扩张。</w:t>
      </w:r>
    </w:p>
    <w:p>
      <w:pPr>
        <w:spacing w:lineRule="exact" w:line="600" w:after="0"/>
        <w:ind w:firstLine="420"/>
      </w:pPr>
      <w:r>
        <w:rPr>
          <w:rFonts w:ascii="仿宋_GB2312" w:hAnsi="仿宋_GB2312" w:eastAsia="仿宋_GB2312"/>
          <w:b w:val="0"/>
          <w:sz w:val="32"/>
        </w:rPr>
        <w:t>区域认同与示范效应增强。肥城高性能纤维及复合材料入选省级特色集群，成为产业名片，增强干部群众发展信心；其“专班+冠军+配套”模式为同类县域提供可借鉴路径，产生积极的社会示范价值与推广意义。示范效应为同类县域提供可借鉴路径。内外需协同将拓宽增长空间。要素集约利用水平决定未来上限。开放合作有望补上国际化短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仍面临四方面问题：一是产业链上游高端纤维与树脂基体占比偏小，中低端土工材料同质竞争，价值链中高端环节偏弱；二是公共中试、共性技术与高端人才支撑不足，原始创新与成果转化存在短板；三是安全环保集中风险突出，能耗煤耗与环境容量约束趋紧。各类问题相互交织，须多维度系统施策破解。创新策源能力有待进一步夯实。</w:t>
      </w:r>
    </w:p>
    <w:p>
      <w:pPr>
        <w:spacing w:lineRule="exact" w:line="600" w:after="0"/>
        <w:ind w:firstLine="420"/>
      </w:pPr>
      <w:r>
        <w:rPr>
          <w:rFonts w:ascii="仿宋_GB2312" w:hAnsi="仿宋_GB2312" w:eastAsia="仿宋_GB2312"/>
          <w:b w:val="0"/>
          <w:sz w:val="32"/>
        </w:rPr>
        <w:t>四是外向度虽有一定基础但高端纤维制品出口待拓展，品牌国际化水平仍不均衡；区域同质化招商与周期波动带来竞争与经营风险。上述问题相互交织，需在补链强链、创新提升、要素保障与政策优化上系统施策，方能支撑“十四五”末集群跃升。支撑集群跃升，必须补齐上述关键短板。安全底线须贯穿发展全过程。该趋势与全市工业整体走向基本一致。</w:t>
      </w:r>
    </w:p>
    <w:p>
      <w:pPr>
        <w:spacing w:lineRule="exact" w:line="600" w:after="0"/>
        <w:ind w:firstLine="420"/>
      </w:pPr>
      <w:r>
        <w:rPr>
          <w:rFonts w:ascii="仿宋_GB2312" w:hAnsi="仿宋_GB2312" w:eastAsia="仿宋_GB2312"/>
          <w:b w:val="0"/>
          <w:sz w:val="32"/>
        </w:rPr>
        <w:t>问题根源在于“大而不强、聚而不精”。企业数量与空间快速扩张的同时，单位产出附加值、高端牌号丰富度、国际话语权仍有差距。下一步应以质效为核心，推动从规模驱动转向创新驱动、从基础土工材料导向转向高端复合增值导向的深层转型。深层转型应以质效为核心取向。上述判断基于公开权威信息与实地资料。其经验对同类资源型园区具参考价值。</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向上游巩固纤维与基体优势。扩大玻纤、涤纶等基础原料供给，攻关高端涂覆与树脂基体，延伸“纤维—预制料—复合材料”链条，打通关键单体国产化，降低对外依赖，筑牢高性能纤维基础原料底座，确保链条安全可控、供给稳定可靠。巩固上游是链条安全可控的重要基础。相关成效仍在持续累积、逐步显现。需以系统思维加以统筹与推进。</w:t>
      </w:r>
    </w:p>
    <w:p>
      <w:pPr>
        <w:spacing w:lineRule="exact" w:line="600" w:after="0"/>
        <w:ind w:firstLine="420"/>
      </w:pPr>
      <w:r>
        <w:rPr>
          <w:rFonts w:ascii="仿宋_GB2312" w:hAnsi="仿宋_GB2312" w:eastAsia="仿宋_GB2312"/>
          <w:b w:val="0"/>
          <w:sz w:val="32"/>
        </w:rPr>
        <w:t>向中游做强土工与滤材优势领域。聚焦玻纤土工格栅、高温环保滤材、基建复合新材料等已具全国或全球竞争力的环节，做深牌号、做精工艺，巩固联谊、路德、泰鹏的领先地位，形成“数个隐形冠军+完整配套”的中游强链格局，提升议价能力。做强中游锚定已具竞争力的优势环节。这为集群后续提质升级提供扎实基础。各方对此已形成较为广泛的共识。</w:t>
      </w:r>
    </w:p>
    <w:p>
      <w:pPr>
        <w:spacing w:lineRule="exact" w:line="600" w:after="0"/>
        <w:ind w:firstLine="420"/>
      </w:pPr>
      <w:r>
        <w:rPr>
          <w:rFonts w:ascii="仿宋_GB2312" w:hAnsi="仿宋_GB2312" w:eastAsia="仿宋_GB2312"/>
          <w:b w:val="0"/>
          <w:sz w:val="32"/>
        </w:rPr>
        <w:t>向下游延伸高端复合材料与终端。依托联谊、泰鹏等园中园，向碳纤维复合材料、智能土工材料、新能源复合材料延伸，对接重大基建、环保与新能源需求，打开第二曲线，实现由材料向高附加值终端制品与系统服务的延链增值跨越。延伸下游对接基建与新能源的新增需求。其示范意义值得进一步总结推广。应在发展实践中不断完善与优化。</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企业倍增计划。支持联谊、泰鹏、路德、昌盛四家链主延链补链，鼓励并购与产能整合，力争培育营收数十亿级旗舰；推动骨干再融资扩产，发挥资本标杆带动作用，提升企业规模能级与抗风险能力，巩固冠军地位。链主倍增将提升集群整体规模能级。该方向契合高质量发展根本要求。由此形成的协同合力正在加快显现。长期看有利于集群实现行稳致远。</w:t>
      </w:r>
    </w:p>
    <w:p>
      <w:pPr>
        <w:spacing w:lineRule="exact" w:line="600" w:after="0"/>
        <w:ind w:firstLine="420"/>
      </w:pPr>
      <w:r>
        <w:rPr>
          <w:rFonts w:ascii="仿宋_GB2312" w:hAnsi="仿宋_GB2312" w:eastAsia="仿宋_GB2312"/>
          <w:b w:val="0"/>
          <w:sz w:val="32"/>
        </w:rPr>
        <w:t>梯度培育“专精特新”中小企业。建立中小企业培育库，对配套土工、无纺、石墨企业给足“标准地+基金+中试”支持，目标新增一批省级专精特新、单项冠军与瞪羚企业，形成大中小企业融通生态，避免“大树底下不长草”，增强内生活力。梯度培育可避免“大树底下不长草”。从全省看，这一路径具有推广价值。需警惕潜在风险并保持战略定力。</w:t>
      </w:r>
    </w:p>
    <w:p>
      <w:pPr>
        <w:spacing w:lineRule="exact" w:line="600" w:after="0"/>
        <w:ind w:firstLine="420"/>
      </w:pPr>
      <w:r>
        <w:rPr>
          <w:rFonts w:ascii="仿宋_GB2312" w:hAnsi="仿宋_GB2312" w:eastAsia="仿宋_GB2312"/>
          <w:b w:val="0"/>
          <w:sz w:val="32"/>
        </w:rPr>
        <w:t>引育并重优化企业结构。坚持精准招商招大引强，同时孵化轻资产高成长项目；探索外资与合资突破，引入日德纤维巨头，优化产权与产品结构。以“链主+配套+新锐”三层企业矩阵夯实集群主体基础，提升整体竞争力。引育并重优化企业结构与产权构成。数字化与绿色化正成为关键变量。龙头牵引仍是集群壮大的主线索。循环化改造释放的红利仍将持续。</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公共创新与中试平台。依托龙头企业扩建行业级工业互联网与联合实验室，联合驻泰高校共建高性能纤维中试基地与材料检测中心，弥补县域高端平台短板，打通“实验室—生产线”工程化堵点，提升原始创新能力与转化效率。中试平台打通“实验室—生产线”关键堵点。公共平台补短是当务之急。区域承载力的提升支撑了集群扩张。</w:t>
      </w:r>
    </w:p>
    <w:p>
      <w:pPr>
        <w:spacing w:lineRule="exact" w:line="600" w:after="0"/>
        <w:ind w:firstLine="420"/>
      </w:pPr>
      <w:r>
        <w:rPr>
          <w:rFonts w:ascii="仿宋_GB2312" w:hAnsi="仿宋_GB2312" w:eastAsia="仿宋_GB2312"/>
          <w:b w:val="0"/>
          <w:sz w:val="32"/>
        </w:rPr>
        <w:t>激励企业研发投入与成果转化。对链主新建研发中心、首台套工艺给补贴；设立成果转化基金，支持土工、滤材、碳纤维等优势领域沉淀专利与标准；鼓励参与国际标准制定，以单项冠军产品带动技术话语权由国内走向全球，增强创新话语权。激励转化以沉淀专利与标准话语权。内外需协同将拓宽增长空间。要素集约利用水平决定未来上限。</w:t>
      </w:r>
    </w:p>
    <w:p>
      <w:pPr>
        <w:spacing w:lineRule="exact" w:line="600" w:after="0"/>
        <w:ind w:firstLine="420"/>
      </w:pPr>
      <w:r>
        <w:rPr>
          <w:rFonts w:ascii="仿宋_GB2312" w:hAnsi="仿宋_GB2312" w:eastAsia="仿宋_GB2312"/>
          <w:b w:val="0"/>
          <w:sz w:val="32"/>
        </w:rPr>
        <w:t>推动数字绿色双赋能。扩大规上企业数字化覆盖至研发与供应链协同，推广先进工艺降耗减排；以智安园区深化循环创新，建设零碳智慧园区试点，使创新既提效又减碳，契合高性能纤维复合材料可持续发展方向与“双碳”目标。数字绿色双赋能契合可持续发展方向。开放合作有望补上国际化短板。创新策源能力有待进一步夯实。安全底线须贯穿发展全过程。</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能耗煤耗约束。推进节能改造与绿电替代，探索能耗等量替代与指标统筹；优先保障高附加值、低排放项目用能，以亩均效益与能耗强度引导资源向优质项目集中，平衡扩能与“双碳”要求，保障发展空间，避免瓶颈制约。节能与绿电替代破解能耗硬约束。该趋势与全市工业整体走向基本一致。上述判断基于公开权威信息与实地资料。</w:t>
      </w:r>
    </w:p>
    <w:p>
      <w:pPr>
        <w:spacing w:lineRule="exact" w:line="600" w:after="0"/>
        <w:ind w:firstLine="420"/>
      </w:pPr>
      <w:r>
        <w:rPr>
          <w:rFonts w:ascii="仿宋_GB2312" w:hAnsi="仿宋_GB2312" w:eastAsia="仿宋_GB2312"/>
          <w:b w:val="0"/>
          <w:sz w:val="32"/>
        </w:rPr>
        <w:t>优化土地与资本供给。通过高新区扩区与标准地出让提高集约利用，保障联谊、泰鹏等园中园用地；扩大产业基金与供应链金融规模，支持企业上市挂牌与并购，探索新材料专项债与绿色金融工具，缓解中小企业融资难，强化资本要素支撑。土地资本组合保障园中园建设。其经验对同类资源型园区具参考价值。相关成效仍在持续累积、逐步显现。</w:t>
      </w:r>
    </w:p>
    <w:p>
      <w:pPr>
        <w:spacing w:lineRule="exact" w:line="600" w:after="0"/>
        <w:ind w:firstLine="420"/>
      </w:pPr>
      <w:r>
        <w:rPr>
          <w:rFonts w:ascii="仿宋_GB2312" w:hAnsi="仿宋_GB2312" w:eastAsia="仿宋_GB2312"/>
          <w:b w:val="0"/>
          <w:sz w:val="32"/>
        </w:rPr>
        <w:t>强化人才与原料保障。订单式培养技工与纤维工艺工程师，引育高端研发人才；扩大园内基础纤维与树脂自给，建立关键单体储备与多源采购，增强供应链韧性。以“要素跟着项目走”机制统筹保障，确保重点项目快落地、早达产、早见效。人才原料统筹增强供应链韧性。需以系统思维加以统筹与推进。这为集群后续提质升级提供扎实基础。</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落实市级产业链部署。严格执行泰安市高性能纤维及复合材料产业链定位，强化与岱岳、宁阳等错位协同，避免同质化内耗；将集群规划融入全市新型工业化与“十五五”规划，保持政策连续性与战略定力，久久为功，巩固冠军优势。落实市级部署须保持战略定力。各方对此已形成较为广泛的共识。其示范意义值得进一步总结推广。应在发展实践中不断完善与优化。</w:t>
      </w:r>
    </w:p>
    <w:p>
      <w:pPr>
        <w:spacing w:lineRule="exact" w:line="600" w:after="0"/>
        <w:ind w:firstLine="420"/>
      </w:pPr>
      <w:r>
        <w:rPr>
          <w:rFonts w:ascii="仿宋_GB2312" w:hAnsi="仿宋_GB2312" w:eastAsia="仿宋_GB2312"/>
          <w:b w:val="0"/>
          <w:sz w:val="32"/>
        </w:rPr>
        <w:t>升级营商环境与公共服务。完善“企业服务专员”“要素跟着项目走”机制，建设共享检测、中试、认证与合规平台；以协会化运作补政府专班市场端不足，成立肥城高性能纤维及复合材料产业联盟，提升组织化与对外交流水平，打造一流营商品牌。升级服务与公共平台打造一流营商。该方向契合高质量发展根本要求。由此形成的协同合力正在加快显现。</w:t>
      </w:r>
    </w:p>
    <w:p>
      <w:pPr>
        <w:spacing w:lineRule="exact" w:line="600" w:after="0"/>
        <w:ind w:firstLine="420"/>
      </w:pPr>
      <w:r>
        <w:rPr>
          <w:rFonts w:ascii="仿宋_GB2312" w:hAnsi="仿宋_GB2312" w:eastAsia="仿宋_GB2312"/>
          <w:b w:val="0"/>
          <w:sz w:val="32"/>
        </w:rPr>
        <w:t>争取上级试点与开放平台。积极申报国家级绿色园区、智安园区与新材料试点，对接省级特色产业集群政策红利；以开放平台拓展国际认证与渠道，稳步提升外向度与品牌国际化，将政策优势转化为集群持续跃升的强劲动能，迈向全球高地。争取试点将政策优势转为跃升动能。长期看有利于集群实现行稳致远。从全省看，这一路径具有推广价值。</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泰安市人民政府国资委：泰安市高性能纤维及复合材料产业链培育特色产业集群（2023-07-19），https://gzw.taian.gov.cn/art/2023/7/19/art_178900_10294640.html</w:t>
      </w:r>
    </w:p>
    <w:p>
      <w:pPr>
        <w:spacing w:lineRule="exact" w:line="600" w:after="0"/>
        <w:ind w:firstLine="0"/>
      </w:pPr>
      <w:r>
        <w:rPr>
          <w:rFonts w:ascii="仿宋_GB2312" w:hAnsi="仿宋_GB2312" w:eastAsia="仿宋_GB2312"/>
          <w:b w:val="0"/>
          <w:sz w:val="32"/>
        </w:rPr>
        <w:t>2. 肥城市高性能纤维及复合材料产业链专班：推动产业链高质量发展，https://www.fensifuwu.com/emotion/me/2118734.html</w:t>
      </w:r>
    </w:p>
    <w:p>
      <w:pPr>
        <w:spacing w:lineRule="exact" w:line="600" w:after="0"/>
        <w:ind w:firstLine="0"/>
      </w:pPr>
      <w:r>
        <w:rPr>
          <w:rFonts w:ascii="仿宋_GB2312" w:hAnsi="仿宋_GB2312" w:eastAsia="仿宋_GB2312"/>
          <w:b w:val="0"/>
          <w:sz w:val="32"/>
        </w:rPr>
        <w:t>3. 大众日报：肥城市聚力项目奋力争先推进新型工业化强市（2023-03），https://dzrb.dzng.com/articleContent/2131_994672.html</w:t>
      </w:r>
    </w:p>
    <w:p>
      <w:pPr>
        <w:spacing w:lineRule="exact" w:line="600" w:after="0"/>
        <w:ind w:firstLine="0"/>
      </w:pPr>
      <w:r>
        <w:rPr>
          <w:rFonts w:ascii="仿宋_GB2312" w:hAnsi="仿宋_GB2312" w:eastAsia="仿宋_GB2312"/>
          <w:b w:val="0"/>
          <w:sz w:val="32"/>
        </w:rPr>
        <w:t>4. 鲁网：以政策凝聚动能 助力民营企业“枝繁叶茂”（2023-08-11），https://sd.sdnews.com.cn/taian/taxw/202308/t20230811_4274600.htm</w:t>
      </w:r>
    </w:p>
    <w:p>
      <w:pPr>
        <w:spacing w:lineRule="exact" w:line="600" w:after="0"/>
        <w:ind w:firstLine="0"/>
      </w:pPr>
      <w:r>
        <w:rPr>
          <w:rFonts w:ascii="仿宋_GB2312" w:hAnsi="仿宋_GB2312" w:eastAsia="仿宋_GB2312"/>
          <w:b w:val="0"/>
          <w:sz w:val="32"/>
        </w:rPr>
        <w:t>5. 中国金融信息网：山东肥城“经线纬线”织就单项冠军（2026-06-11），https://m.cnfin.com/cmjj-lb//zixun/20260611/4425338_1.html</w:t>
      </w:r>
    </w:p>
    <w:p>
      <w:pPr>
        <w:spacing w:lineRule="exact" w:line="600" w:after="0"/>
        <w:ind w:firstLine="0"/>
      </w:pPr>
      <w:r>
        <w:rPr>
          <w:rFonts w:ascii="仿宋_GB2312" w:hAnsi="仿宋_GB2312" w:eastAsia="仿宋_GB2312"/>
          <w:b w:val="0"/>
          <w:sz w:val="32"/>
        </w:rPr>
        <w:t>6. 纺织网：肥城联谊将新建智能化工程材料产业园项目，https://info.texnet.com.cn/detail-1007444.html</w:t>
      </w:r>
    </w:p>
    <w:p>
      <w:pPr>
        <w:spacing w:lineRule="exact" w:line="600" w:after="0"/>
        <w:ind w:firstLine="0"/>
      </w:pPr>
      <w:r>
        <w:rPr>
          <w:rFonts w:ascii="仿宋_GB2312" w:hAnsi="仿宋_GB2312" w:eastAsia="仿宋_GB2312"/>
          <w:b w:val="0"/>
          <w:sz w:val="32"/>
        </w:rPr>
        <w:t>7. 齐鲁壹点：肥城新型工业化强市引领高质量发展，https://www.ql1d.com/general/18763741.html</w:t>
      </w:r>
    </w:p>
    <w:p>
      <w:pPr>
        <w:spacing w:lineRule="exact" w:line="600" w:after="0"/>
        <w:ind w:firstLine="0"/>
      </w:pPr>
      <w:r>
        <w:rPr>
          <w:rFonts w:ascii="仿宋_GB2312" w:hAnsi="仿宋_GB2312" w:eastAsia="仿宋_GB2312"/>
          <w:b w:val="0"/>
          <w:sz w:val="32"/>
        </w:rPr>
        <w:t>8. 鲁网：王瓜店街道“双引擎”助力特色产业腾飞（2017-12-18），https://www.toutiao.com/article/6500787617175437837/</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