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胶州市智能家电电路板特色产业集群发展研究报告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胶州市智能家电电路板特色产业集群于2025年度经山东省工业和信息化厅正式认定为省级特色产业集群，位于青岛市胶州市，是依托当地产业基础与资源禀赋形成的县域特色优势产业集聚区。集群以核心零部件制造、整机与成套装备、系统集成与运维服务为主导方向，覆盖从前端配套到终端产品的全链条环节，产业根植性与区域辨识度较强。龙头企业持续增资扩产，带动上下游配套企业协同布局，产业根植性不断增强。</w:t>
      </w:r>
    </w:p>
    <w:p>
      <w:pPr>
        <w:spacing w:lineRule="exact" w:line="600" w:after="0"/>
        <w:ind w:firstLine="420"/>
      </w:pPr>
      <w:r>
        <w:rPr>
          <w:rFonts w:ascii="仿宋_GB2312" w:hAnsi="仿宋_GB2312" w:eastAsia="仿宋_GB2312"/>
          <w:b w:val="0"/>
          <w:sz w:val="32"/>
        </w:rPr>
        <w:t>集群行政归属为青岛市胶州市，认定层级为省级，主导方向为核心零部件制造、整机与成套装备、系统集成与运维服务。胶州市具备较好的产业配套与区位条件，龙头企业在区域内持续增资扩产，带动上下游企业协同布局。从产业链看，集群以重点企业牵引，构建了较为完整的本地配套体系，形成了特色鲜明、分工明确的产业生态。相关规划将其纳入区域创新型产业体系，政策与要素保障逐步完善，发展环境持续优化。</w:t>
      </w:r>
    </w:p>
    <w:p>
      <w:pPr>
        <w:spacing w:lineRule="exact" w:line="600" w:after="0"/>
        <w:ind w:firstLine="420"/>
      </w:pPr>
      <w:r>
        <w:rPr>
          <w:rFonts w:ascii="仿宋_GB2312" w:hAnsi="仿宋_GB2312" w:eastAsia="仿宋_GB2312"/>
          <w:b w:val="0"/>
          <w:sz w:val="32"/>
        </w:rPr>
        <w:t>集群产业定位紧扣区域创新型产业体系与消费升级趋势，聚焦高端化、高附加值方向，推动传统制造向智能化、绿色化升级。总体看，集群以生态化、集约化、品牌化为逻辑，正在从规模扩张转向质量效益型发展，区域带动能力和产业链影响力持续增强。从区域看，该集群是青岛市胶州市特色优势产业的重要承载，对县域经济支撑作用明显。龙头企业持续增资扩产，带动上下游配套企业协同布局，产业根植性不断增强。</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截至2024年底，智能家电电路板特色产业集群汇聚企业105家，实现产值250.01亿元。另据公开信息，2025年一季度智能家电产业完成营业收入84.97亿元，同比增长18.9%，预计全年实现营业收入320亿元。总体看，该板块已成为青岛市胶州市实体经济中最具支撑力的主导产业之一，在规上工业中占有重要地位，集聚度与产出规模稳步提升，为县域经济行稳致远提供了坚实底座。</w:t>
      </w:r>
    </w:p>
    <w:p>
      <w:pPr>
        <w:spacing w:lineRule="exact" w:line="600" w:after="0"/>
        <w:ind w:firstLine="420"/>
      </w:pPr>
      <w:r>
        <w:rPr>
          <w:rFonts w:ascii="仿宋_GB2312" w:hAnsi="仿宋_GB2312" w:eastAsia="仿宋_GB2312"/>
          <w:b w:val="0"/>
          <w:sz w:val="32"/>
        </w:rPr>
        <w:t>从企业体量看，尼得科电机、尼得科电控电器、领智电子、沃尔芯智能、康盛股份、科隆电器、道恩等重点企业构成产出主力，其中尼得科青岛产业园2025年7月投产，配备75条智能化生产线，电机年产量1300万台、控制器年产量1600万台。据不完全统计，集群带动上下游配套企业协同发展，规模效应逐步显现。总体看，大中小企业梯次分布，龙头企业引领、配套企业跟进的格局为产值稳定增长提供了结构保障。</w:t>
      </w:r>
    </w:p>
    <w:p>
      <w:pPr>
        <w:spacing w:lineRule="exact" w:line="600" w:after="0"/>
        <w:ind w:firstLine="420"/>
      </w:pPr>
      <w:r>
        <w:rPr>
          <w:rFonts w:ascii="仿宋_GB2312" w:hAnsi="仿宋_GB2312" w:eastAsia="仿宋_GB2312"/>
          <w:b w:val="0"/>
          <w:sz w:val="32"/>
        </w:rPr>
        <w:t>从细分链条规模看，电路板、连接器、结构件、电机、电缆、控制器等核心部件。产品远销亚太、欧洲、美洲等12个国家的70余家国际知名客户，是亚洲产能最大的直流变频电机生产制造基地。根据产业规划，依托海尔卡奥斯工业互联网生态园，加速打造千亿级智能家电产业集群。需重点关注产能扩张过程中的原料保障、市场波动与绿色发展约束，确保规模与质量同步提升，避免单纯追求产值而忽视效益与韧性。</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若干相互支撑的方向：一是上游原料与配套，二是中游加工制造，三是下游品牌流通与服务等。总体看，三大环节相互衔接，形成了相对闭环的产业链生态，使集群既能应对外部波动，又能把更多价值留在本地。电路板、连接器、结构件、电机、电缆、控制器等核心部件相互衔接，使主导产业具备从原料到终端的纵深协同能力。龙头企业在主导产业中承担核心制造与品牌功能，引领配套企业错位发展。</w:t>
      </w:r>
    </w:p>
    <w:p>
      <w:pPr>
        <w:spacing w:lineRule="exact" w:line="600" w:after="0"/>
        <w:ind w:firstLine="420"/>
      </w:pPr>
      <w:r>
        <w:rPr>
          <w:rFonts w:ascii="仿宋_GB2312" w:hAnsi="仿宋_GB2312" w:eastAsia="仿宋_GB2312"/>
          <w:b w:val="0"/>
          <w:sz w:val="32"/>
        </w:rPr>
        <w:t>从具体构成看，电路板、连接器、结构件、电机、电缆、控制器等核心部件。龙头企业围绕核心品类持续延伸产品线，形成从原料处理、精深加工到终端消费品的多元矩阵；配套企业则聚焦包装、物流、设备等环节，与主机企业形成就近配套。流通端依托电商与专业市场拓展销售，实现产供销协同。龙头企业在主导产业中承担核心制造与品牌功能，引领配套企业错位发展。</w:t>
      </w:r>
    </w:p>
    <w:p>
      <w:pPr>
        <w:spacing w:lineRule="exact" w:line="600" w:after="0"/>
        <w:ind w:firstLine="420"/>
      </w:pPr>
      <w:r>
        <w:rPr>
          <w:rFonts w:ascii="仿宋_GB2312" w:hAnsi="仿宋_GB2312" w:eastAsia="仿宋_GB2312"/>
          <w:b w:val="0"/>
          <w:sz w:val="32"/>
        </w:rPr>
        <w:t>主导产业呈现传统优势与新兴风口并重的特征，部分领域加快向高附加值、自有品牌方向升级。总体看，集群主导产业契合区域产业方向与消费趋势，但高端产品占比、品牌溢价与核心环节掌控力仍有提升空间，需以增品种、提品质、创品牌持续推进。新兴业态与高附加值品类逐步导入，主导产业结构正朝着高端化方向演进。电路板、连接器、结构件、电机、电缆、控制器等核心部件相互衔接，使主导产业具备从原料到终端的纵深协同能力。</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看，胶州市该集群已构建起从上游到下游的体系化布局，关键环节基本具备。上游建设原料基地与配套体系，中游通过技术与智能化改造提升制造水平，下游依托专业市场、电商与展会拓展渠道，链条衔接较为顺畅，协同效率逐步改善。关键设备与核心材料本地配套率提升，使链条响应速度与稳定性明显改善。电商、物流与展会等流通环节补齐，产业链从生产型向产供销一体化延伸。</w:t>
      </w:r>
    </w:p>
    <w:p>
      <w:pPr>
        <w:spacing w:lineRule="exact" w:line="600" w:after="0"/>
        <w:ind w:firstLine="420"/>
      </w:pPr>
      <w:r>
        <w:rPr>
          <w:rFonts w:ascii="仿宋_GB2312" w:hAnsi="仿宋_GB2312" w:eastAsia="仿宋_GB2312"/>
          <w:b w:val="0"/>
          <w:sz w:val="32"/>
        </w:rPr>
        <w:t>集群主导产品涵盖电路板、连接器、结构件、电机、电缆、控制器等核心部件，并延伸至相关高附加值领域。以重点企业为核心的全产业链条，覆盖从原料处理到深加工的多个环节，年产出规模可观。总体看，种植、制造、物流、销售四大环节均已布局，链群共生格局初步形成，本地配套率有所提高。电商、物流与展会等流通环节补齐，产业链从生产型向产供销一体化延伸。</w:t>
      </w:r>
    </w:p>
    <w:p>
      <w:pPr>
        <w:spacing w:lineRule="exact" w:line="600" w:after="0"/>
        <w:ind w:firstLine="420"/>
      </w:pPr>
      <w:r>
        <w:rPr>
          <w:rFonts w:ascii="仿宋_GB2312" w:hAnsi="仿宋_GB2312" w:eastAsia="仿宋_GB2312"/>
          <w:b w:val="0"/>
          <w:sz w:val="32"/>
        </w:rPr>
        <w:t>需客观看到，集群产业链在高端研发、关键材料与核心设备等上游环节仍显薄弱，部分高附加值原料与装备依赖外部采购。从产业链完整性看，生产制造环节强、创新服务环节弱，是下一步补链强链需重点着力的方向，应加快补齐生产性服务业短板。仍需在研发设计与检测认证等环节补强，以进一步提升链条自主可控水平。关键设备与核心材料本地配套率提升，使链条响应速度与稳定性明显改善。</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上游原料自给与品质稳定性有待加强。部分专用原料仍需外部调入，原料端波动对加工企业成本形成一定传导压力，亟需扩大标准化订单基地与绿色有机供给，提升源头可控性与质量一致性，降低对外部市场的依赖。高端功能性配料与核心装备外部依赖，使部分环节利润向外流失。中小企业普遍缺乏检测与设计能力，制约整体链条向高附加值攀升。公共服务平台不足导致配套成本高，是短板难以短期补齐的重要成因。</w:t>
      </w:r>
    </w:p>
    <w:p>
      <w:pPr>
        <w:spacing w:lineRule="exact" w:line="600" w:after="0"/>
        <w:ind w:firstLine="420"/>
      </w:pPr>
      <w:r>
        <w:rPr>
          <w:rFonts w:ascii="仿宋_GB2312" w:hAnsi="仿宋_GB2312" w:eastAsia="仿宋_GB2312"/>
          <w:b w:val="0"/>
          <w:sz w:val="32"/>
        </w:rPr>
        <w:t>二是中游高附加值环节占比偏低。当前集群以制造与传统加工为主，功能性、定制化与自有品牌产品规模偏小，利润空间受上下游挤压，价值链攀升受制于研发与品牌短板。多数配套企业仍以代工和低端流通为主，单位产品附加值提升缓慢。中小企业普遍缺乏检测与设计能力，制约整体链条向高附加值攀升。公共服务平台不足导致配套成本高，是短板难以短期补齐的重要成因。</w:t>
      </w:r>
    </w:p>
    <w:p>
      <w:pPr>
        <w:spacing w:lineRule="exact" w:line="600" w:after="0"/>
        <w:ind w:firstLine="420"/>
      </w:pPr>
      <w:r>
        <w:rPr>
          <w:rFonts w:ascii="仿宋_GB2312" w:hAnsi="仿宋_GB2312" w:eastAsia="仿宋_GB2312"/>
          <w:b w:val="0"/>
          <w:sz w:val="32"/>
        </w:rPr>
        <w:t>三是生产性服务业配套不足。检测认证、工业设计、包装印刷、智能装备与电商代运营等专业服务企业数量偏少，数字化平台覆盖面有限。从产业链短板看，研发、品牌、服务等软环节是制约集群由大向强跃升的关键弱项，需系统补强。公共服务平台不足导致配套成本高，是短板难以短期补齐的重要成因。高端功能性配料与核心装备外部依赖，使部分环节利润向外流失。</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目前总体处于原料、制造与流通的中段，价值捕获以生产环节为主，研发设计与品牌营销两端相对薄弱。龙头企业具备较强品牌与渠道能力，但大量中小企业仍集中在代工和低端流通环节，单位产品附加值提升缓慢。代工与流通环节占比偏高，使集群在利润分配中处于相对被动位置。龙头企业向研发与品牌延伸，正逐步改善价值链整体位势。</w:t>
      </w:r>
    </w:p>
    <w:p>
      <w:pPr>
        <w:spacing w:lineRule="exact" w:line="600" w:after="0"/>
        <w:ind w:firstLine="420"/>
      </w:pPr>
      <w:r>
        <w:rPr>
          <w:rFonts w:ascii="仿宋_GB2312" w:hAnsi="仿宋_GB2312" w:eastAsia="仿宋_GB2312"/>
          <w:b w:val="0"/>
          <w:sz w:val="32"/>
        </w:rPr>
        <w:t>对比先进集群，该集群在高价值环节布局不足，利润更多沉淀于渠道与终端品牌方。随着重点企业高端产线投产与品类升级，集群正逐步向价值链中上游移动，但整体跃升仍需时日，需要持续在技术与品牌两端加大投入，提升议价能力。龙头企业向研发与品牌延伸，正逐步改善价值链整体位势。区域公共品牌缺位，削弱了终端溢价能力与价值捕获效率。代工与流通环节占比偏高，使集群在利润分配中处于相对被动位置。</w:t>
      </w:r>
    </w:p>
    <w:p>
      <w:pPr>
        <w:spacing w:lineRule="exact" w:line="600" w:after="0"/>
        <w:ind w:firstLine="420"/>
      </w:pPr>
      <w:r>
        <w:rPr>
          <w:rFonts w:ascii="仿宋_GB2312" w:hAnsi="仿宋_GB2312" w:eastAsia="仿宋_GB2312"/>
          <w:b w:val="0"/>
          <w:sz w:val="32"/>
        </w:rPr>
        <w:t>总体看，提升价值链位置应坚持微笑曲线两端突破：一端强化核心技术与配方研发，一端做强区域公共品牌与全渠道营销。通过增品种、提品质、创品牌行动，推动集群从规模导向转向价值导向，把本地资源优势转化为高附加值产品竞争力。区域公共品牌缺位，削弱了终端溢价能力与价值捕获效率。代工与流通环节占比偏高，使集群在利润分配中处于相对被动位置。</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已形成较为清晰的产业分工：以重点企业为链主，承担研发、品牌与核心制造；以骨干企业专注细分品类加工；大量中小企业与个体工商户围绕配套环节协作，形成大中小企业融通发展格局，分工层次逐步清晰。链主企业专注核心制造与渠道，配套企业聚焦专业化环节，分工趋于清晰。园区与基地错位承载不同环节，空间分工降低了协同与物流成本。</w:t>
      </w:r>
    </w:p>
    <w:p>
      <w:pPr>
        <w:spacing w:lineRule="exact" w:line="600" w:after="0"/>
        <w:ind w:firstLine="420"/>
      </w:pPr>
      <w:r>
        <w:rPr>
          <w:rFonts w:ascii="仿宋_GB2312" w:hAnsi="仿宋_GB2312" w:eastAsia="仿宋_GB2312"/>
          <w:b w:val="0"/>
          <w:sz w:val="32"/>
        </w:rPr>
        <w:t>从空间分工看，核心园区承载龙头与规上企业，专业基地承接原料与初加工，电商与物流服务向城区与园区集中。这种核心园区加卫星基地加专业配套的分工体系，有利于降低协同成本、提升响应效率，形成错位发展、互为支撑的空间格局。园区与基地错位承载不同环节，空间分工降低了协同与物流成本。协会与平台撮合供需，有助于缓解中小企业协作深度不足的问题。</w:t>
      </w:r>
    </w:p>
    <w:p>
      <w:pPr>
        <w:spacing w:lineRule="exact" w:line="600" w:after="0"/>
        <w:ind w:firstLine="420"/>
      </w:pPr>
      <w:r>
        <w:rPr>
          <w:rFonts w:ascii="仿宋_GB2312" w:hAnsi="仿宋_GB2312" w:eastAsia="仿宋_GB2312"/>
          <w:b w:val="0"/>
          <w:sz w:val="32"/>
        </w:rPr>
        <w:t>从企业间协作看，订单农业、协作配套与平台撮合把上下游紧密联结。总体看，产业分工趋于合理，但中小企业专业化水平与协作深度仍有差异，需通过协会与平台进一步撮合供需、统一标准，避免同质化低端竞争，提升整体组织化水平。协会与平台撮合供需，有助于缓解中小企业协作深度不足的问题。链主企业专注核心制造与渠道，配套企业聚焦专业化环节，分工趋于清晰。</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龙头引领、中小企业集聚的金字塔结构。尼得科电机、尼得科电控电器、领智电子、沃尔芯智能、康盛股份、科隆电器、道恩等构成产出主力层，广大中小微加工与配套企业占据数量多数，是就业与配套的主力。总体看，大中小企业梯度合理，但中间层中型企业偏少，成长韧性有待加强。规上企业构成产出主力，小微企业则在配套与就业方面发挥基础性作用。</w:t>
      </w:r>
    </w:p>
    <w:p>
      <w:pPr>
        <w:spacing w:lineRule="exact" w:line="600" w:after="0"/>
        <w:ind w:firstLine="420"/>
      </w:pPr>
      <w:r>
        <w:rPr>
          <w:rFonts w:ascii="仿宋_GB2312" w:hAnsi="仿宋_GB2312" w:eastAsia="仿宋_GB2312"/>
          <w:b w:val="0"/>
          <w:sz w:val="32"/>
        </w:rPr>
        <w:t>从数量分布看，中小企业和个体工商户在分装、包装、物流、电商等环节活跃度高，配套能力强。据公开信息，集群带动上下游配套企业协同发展，小微主体活力充沛。需关注中小企业在市场波动、原料涨价中的生存压力，健全梯度培育与纾困机制。中间层企业偏少，使集群在应对外部冲击时韧性有待进一步增强。技改与电商转型推动部分小微企业升规，成长梯队正在缓慢形成。</w:t>
      </w:r>
    </w:p>
    <w:p>
      <w:pPr>
        <w:spacing w:lineRule="exact" w:line="600" w:after="0"/>
        <w:ind w:firstLine="420"/>
      </w:pPr>
      <w:r>
        <w:rPr>
          <w:rFonts w:ascii="仿宋_GB2312" w:hAnsi="仿宋_GB2312" w:eastAsia="仿宋_GB2312"/>
          <w:b w:val="0"/>
          <w:sz w:val="32"/>
        </w:rPr>
        <w:t>从动态看，部分中小企业正通过技改与数字化转型实现个转企、小升规。总体看，应培育更多第二梯队骨干企业，增强集群结构韧性，避免对少数链主的过度依赖，形成龙头稳、中间强、小微活的良性企业规模结构。技改与电商转型推动部分小微企业升规，成长梯队正在缓慢形成。规上企业构成产出主力，小微企业则在配套与就业方面发挥基础性作用。中间层企业偏少，使集群在应对外部冲击时韧性有待进一步增强。</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多元，以外资、民营为主，国有及集体资本主要承担园区平台与基础设施功能。外资龙头企业带来资本、技术与全球渠道；民营资本是数量主体，市场活力强；国资更多以园区加平台公司模式参与招商运营与公共服务。外资龙头企业带来技术外溢，本土民营企业则提供充分的市场活力。国资平台侧重园区与公共服务，不直接介入制造，定位较为清晰。</w:t>
      </w:r>
    </w:p>
    <w:p>
      <w:pPr>
        <w:spacing w:lineRule="exact" w:line="600" w:after="0"/>
        <w:ind w:firstLine="420"/>
      </w:pPr>
      <w:r>
        <w:rPr>
          <w:rFonts w:ascii="仿宋_GB2312" w:hAnsi="仿宋_GB2312" w:eastAsia="仿宋_GB2312"/>
          <w:b w:val="0"/>
          <w:sz w:val="32"/>
        </w:rPr>
        <w:t>从治理看，龙头民营企业普遍建立了现代公司制度，但大量小微主体在财务、质量、环保合规方面仍需规范。总体看，民营主导、外资助力、国资赋能的产权格局，有利于兼顾市场效率与公共配套，应继续优化营商环境以激发各类主体活力。国资平台侧重园区与公共服务，不直接介入制造，定位较为清晰。引导小微企业完善治理，是提升整体产权质量与抗风险能力的关键。</w:t>
      </w:r>
    </w:p>
    <w:p>
      <w:pPr>
        <w:spacing w:lineRule="exact" w:line="600" w:after="0"/>
        <w:ind w:firstLine="420"/>
      </w:pPr>
      <w:r>
        <w:rPr>
          <w:rFonts w:ascii="仿宋_GB2312" w:hAnsi="仿宋_GB2312" w:eastAsia="仿宋_GB2312"/>
          <w:b w:val="0"/>
          <w:sz w:val="32"/>
        </w:rPr>
        <w:t>需持续推进个转企、小升规，引导家族式企业完善治理结构，提升整个集群的产权质量与抗风险能力。混合所有制在部分重点项目中有探索空间，可通过国有资本引导社会资本投向关键环节，提升产业链整体控制力与协同水平。引导小微企业完善治理，是提升整体产权质量与抗风险能力的关键。外资龙头企业带来技术外溢，本土民营企业则提供充分的市场活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尼得科电机、尼得科电控电器、领智电子、沃尔芯智能、康盛股份、科隆电器、道恩是集群最具影响力的企业群体。尼得科青岛产业园2025年7月投产，配备75条智能化生产线，电机年产量1300万台、控制器年产量1600万台。这些企业持续增资扩产、布局高端产线，带动上下游协同发展，是集群创新与出口的主力，对区域产值、税收与就业贡献突出，发挥着稳链强链的链主作用。</w:t>
      </w:r>
    </w:p>
    <w:p>
      <w:pPr>
        <w:spacing w:lineRule="exact" w:line="600" w:after="0"/>
        <w:ind w:firstLine="420"/>
      </w:pPr>
      <w:r>
        <w:rPr>
          <w:rFonts w:ascii="仿宋_GB2312" w:hAnsi="仿宋_GB2312" w:eastAsia="仿宋_GB2312"/>
          <w:b w:val="0"/>
          <w:sz w:val="32"/>
        </w:rPr>
        <w:t>头部企业的共同特征是全产业链布局与持续技改。其通过自建研发、拓展品类、深耕渠道，不断提升本地配套率与品牌力。部分企业进入全球供应链体系，获得国际客户认可，成为区域产业名片，显著增强了集群的外部能见度与议价能力。其全产业链布局对中试样机、配套订单外溢具有明显带动作用。培育第二梯队有助于降低对个别链主的依赖，改善集群结构韧性。</w:t>
      </w:r>
    </w:p>
    <w:p>
      <w:pPr>
        <w:spacing w:lineRule="exact" w:line="600" w:after="0"/>
        <w:ind w:firstLine="420"/>
      </w:pPr>
      <w:r>
        <w:rPr>
          <w:rFonts w:ascii="仿宋_GB2312" w:hAnsi="仿宋_GB2312" w:eastAsia="仿宋_GB2312"/>
          <w:b w:val="0"/>
          <w:sz w:val="32"/>
        </w:rPr>
        <w:t>总体看，头部企业是集群创新与出口的主力，但需警惕对少数链主的依赖风险，应培育更多第二梯队骨干企业，增强集群结构韧性。同时要引导链主向中小企业开放订单、中试与渠道，构建大中小企业融通生态，避免虹吸效应。培育第二梯队有助于降低对个别链主的依赖，改善集群结构韧性。尼得科电机、尼得科电控电器、领智电子、沃尔芯智能、康盛股份、科隆电器、道恩等头部企业获得国际客户认可，显著增强了集群外部能见度。</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地理集聚度高，以核心产业园区为载体，主导产业集聚度较高，属区域特色优势集群。集聚区内企业沿产业链上下游邻近布局，从原料、加工到仓配半径紧凑，显著降低物流与协作成本，形成链主带动到集群共生的产业生态。集聚区内企业半径紧凑，知识与订单外溢效应较为明显。专业市场与园区载体强化了空间集聚，降低了配套与交易成本。需防范集聚带来的环保与要素约束，推动集聚质量而非数量提升。</w:t>
      </w:r>
    </w:p>
    <w:p>
      <w:pPr>
        <w:spacing w:lineRule="exact" w:line="600" w:after="0"/>
        <w:ind w:firstLine="420"/>
      </w:pPr>
      <w:r>
        <w:rPr>
          <w:rFonts w:ascii="仿宋_GB2312" w:hAnsi="仿宋_GB2312" w:eastAsia="仿宋_GB2312"/>
          <w:b w:val="0"/>
          <w:sz w:val="32"/>
        </w:rPr>
        <w:t>从行业集聚看，重点链条在区域内相对集中，新兴业态向园区集聚，电商与外贸服务企业围绕龙头布局，形成生产基地加贸易商加物流商混合集聚。总体看，空间集聚与产业链集聚相互强化，有利于知识外溢与协同创新。专业市场与园区载体强化了空间集聚，降低了配套与交易成本。需防范集聚带来的环保与要素约束，推动集聚质量而非数量提升。集聚区内企业半径紧凑，知识与订单外溢效应较为明显。</w:t>
      </w:r>
    </w:p>
    <w:p>
      <w:pPr>
        <w:spacing w:lineRule="exact" w:line="600" w:after="0"/>
        <w:ind w:firstLine="420"/>
      </w:pPr>
      <w:r>
        <w:rPr>
          <w:rFonts w:ascii="仿宋_GB2312" w:hAnsi="仿宋_GB2312" w:eastAsia="仿宋_GB2312"/>
          <w:b w:val="0"/>
          <w:sz w:val="32"/>
        </w:rPr>
        <w:t>需关注集聚带来的环保与要素约束。加工环节集中排放对园区治污能力提出更高要求；用地、用工在集聚区趋于紧张。下一步应推动集聚向专业化园区加数字化平台升级，避免低水平重复扎堆，提升集聚质量而非简单企业数量叠加。需防范集聚带来的环保与要素约束，推动集聚质量而非数量提升。集聚区内企业半径紧凑，知识与订单外溢效应较为明显。专业市场与园区载体强化了空间集聚，降低了配套与交易成本。</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力，重点企业具备自有研发体系，围绕核心工艺与产品配方持续投入。中小企业研发投入普遍偏低，多以工艺改良和设备引进为主，系统性、原创性研发不足，整体研发投入强度低于高端制造与高新技术集群。龙头企业研发强度相对较高，但中小企业多以维持性投入为主。产学研合作弥补了部分企业自有研发不足，但持续性仍待加强。</w:t>
      </w:r>
    </w:p>
    <w:p>
      <w:pPr>
        <w:spacing w:lineRule="exact" w:line="600" w:after="0"/>
        <w:ind w:firstLine="420"/>
      </w:pPr>
      <w:r>
        <w:rPr>
          <w:rFonts w:ascii="仿宋_GB2312" w:hAnsi="仿宋_GB2312" w:eastAsia="仿宋_GB2312"/>
          <w:b w:val="0"/>
          <w:sz w:val="32"/>
        </w:rPr>
        <w:t>从投入方向看，研发集中在产品配方、工艺优化、智能化生产与质量检测等应用环节，并与高校院所开展产学研合作。总体看，研发投入应用导向强、基础薄弱，前瞻性布局仍需加强，应引导企业从买设备转向投研发，稳步提升整体投入强度。产学研合作弥补了部分企业自有研发不足，但持续性仍待加强。落实加计扣除与平台共享，可撬动更多社会资本投入研发环节。</w:t>
      </w:r>
    </w:p>
    <w:p>
      <w:pPr>
        <w:spacing w:lineRule="exact" w:line="600" w:after="0"/>
        <w:ind w:firstLine="420"/>
      </w:pPr>
      <w:r>
        <w:rPr>
          <w:rFonts w:ascii="仿宋_GB2312" w:hAnsi="仿宋_GB2312" w:eastAsia="仿宋_GB2312"/>
          <w:b w:val="0"/>
          <w:sz w:val="32"/>
        </w:rPr>
        <w:t>需重点关注中小企业研发能力短板。多数小微主体缺乏专职研发与检测力量，产品同质化严重。建议通过公共研发平台、共性技术中试线降低中小企业创新门槛，落实研发费用加计扣除等政策，把研发投入转化为可量化新产品与新增收。落实加计扣除与平台共享，可撬动更多社会资本投入研发环节。龙头企业研发强度相对较高，但中小企业多以维持性投入为主。</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核心品类形成一批新产品，体现工艺与配方创新成果。龙头企业的升级产线陆续投产，部分企业入选高端品牌培育名单，反映品质创新获得认可。但整体以产品迭代为主，突破性、引领性成果不多，原创能力有待提升。产品迭代是创新产出的主要形式，原始性、引领性成果仍偏少。高端品牌培育名单入选，反映部分企业品质创新已获市场认可。</w:t>
      </w:r>
    </w:p>
    <w:p>
      <w:pPr>
        <w:spacing w:lineRule="exact" w:line="600" w:after="0"/>
        <w:ind w:firstLine="420"/>
      </w:pPr>
      <w:r>
        <w:rPr>
          <w:rFonts w:ascii="仿宋_GB2312" w:hAnsi="仿宋_GB2312" w:eastAsia="仿宋_GB2312"/>
          <w:b w:val="0"/>
          <w:sz w:val="32"/>
        </w:rPr>
        <w:t>从知识产权看，龙头企业在配方、工艺、设备方面积累专利与标准，但中小企业专利与商标拥有量总体偏少。集群在地理标志、绿色认证方面仍有拓展空间。总体看，创新产出以渐进式改进为主，需向首台套、首批次、首字号成果跃升。高端品牌培育名单入选，反映部分企业品质创新已获市场认可。需把研发投入更高效地转化为首台套、首批次等可量化新产品。</w:t>
      </w:r>
    </w:p>
    <w:p>
      <w:pPr>
        <w:spacing w:lineRule="exact" w:line="600" w:after="0"/>
        <w:ind w:firstLine="420"/>
      </w:pPr>
      <w:r>
        <w:rPr>
          <w:rFonts w:ascii="仿宋_GB2312" w:hAnsi="仿宋_GB2312" w:eastAsia="仿宋_GB2312"/>
          <w:b w:val="0"/>
          <w:sz w:val="32"/>
        </w:rPr>
        <w:t>提升创新产出需强化市场到研发闭环。依托消费场景开发适需产品，推动功能性、定制化品类取证突破。同时健全创新激励机制，对首台套、首批次给予支持，把研发投入转化为可量化的新产品与新增收，增强创新对产值的贡献度。需把研发投入更高效地转化为首台套、首批次等可量化新产品。产品迭代是创新产出的主要形式，原始性、引领性成果仍偏少。</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产学研联合实验室和公共检测平台为主。龙头企业建有企业技术中心与中试线；政府搭台推动校企合作，建设数字化研发与溯源平台。但面向全行业开放的共性技术研发与中试平台仍显不足，中小企业共享度有限。企业技术中心覆盖头部，但面向中小微创的共性平台仍显稀缺。检测与中试资源开放共享，是提升平台协同效能的重要抓手。</w:t>
      </w:r>
    </w:p>
    <w:p>
      <w:pPr>
        <w:spacing w:lineRule="exact" w:line="600" w:after="0"/>
        <w:ind w:firstLine="420"/>
      </w:pPr>
      <w:r>
        <w:rPr>
          <w:rFonts w:ascii="仿宋_GB2312" w:hAnsi="仿宋_GB2312" w:eastAsia="仿宋_GB2312"/>
          <w:b w:val="0"/>
          <w:sz w:val="32"/>
        </w:rPr>
        <w:t>从平台层级看，省级企业技术中心、工程研究中心在头部企业有布局，但国家级创新平台较少。总体看，平台企业自有用得多、行业公共用得少，需补强面向中小企业的公共创新服务基础设施，提升平台协同效能与开放共享水平。检测与中试资源开放共享，是提升平台协同效能的重要抓手。依托产业大脑打通数据，可增强平台对配方优化与质量管控支撑。企业技术中心覆盖头部，但面向中小微创的共性平台仍显稀缺。</w:t>
      </w:r>
    </w:p>
    <w:p>
      <w:pPr>
        <w:spacing w:lineRule="exact" w:line="600" w:after="0"/>
        <w:ind w:firstLine="420"/>
      </w:pPr>
      <w:r>
        <w:rPr>
          <w:rFonts w:ascii="仿宋_GB2312" w:hAnsi="仿宋_GB2312" w:eastAsia="仿宋_GB2312"/>
          <w:b w:val="0"/>
          <w:sz w:val="32"/>
        </w:rPr>
        <w:t>建议依托区域创新载体，整合高校、检测机构与龙头企业资源，建设共性技术平台、中试熟化基地和检验检测中心，向中小企业开放共享。同时引入工业互联网与产业大脑，用数据驱动配方优化与质量管控，提升平台协同效能。依托产业大脑打通数据，可增强平台对配方优化与质量管控支撑。企业技术中心覆盖头部，但面向中小微创的共性平台仍显稀缺。检测与中试资源开放共享，是提升平台协同效能的重要抓手。</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集群在关键工艺、智能化生产与自动化产线等环节转化较快，龙头企业机器换人成效明显。高校院所的提取、发酵等技术通过合作导入企业，推动功能性配料应用，转化通道逐步打通，但中小企业受益程度不均。关键工艺转化较快，但中试与注册环节仍是成果落地的瓶颈。龙头向中小开放中试能力，有助于缩短新品上市周期。专业合规与注册服务补齐，将显著提升技术转化整体效率。</w:t>
      </w:r>
    </w:p>
    <w:p>
      <w:pPr>
        <w:spacing w:lineRule="exact" w:line="600" w:after="0"/>
        <w:ind w:firstLine="420"/>
      </w:pPr>
      <w:r>
        <w:rPr>
          <w:rFonts w:ascii="仿宋_GB2312" w:hAnsi="仿宋_GB2312" w:eastAsia="仿宋_GB2312"/>
          <w:b w:val="0"/>
          <w:sz w:val="32"/>
        </w:rPr>
        <w:t>从转化瓶颈看，中小企业在中试、检测、标准备案方面能力不足，实验室成果到量产存在困难。公共中试线与检测认证资源稀缺，导致新技术落地周期长、成本高，部分品类受注册与批文约束，转化门槛更高，需专业服务支撑。龙头向中小开放中试能力，有助于缩短新品上市周期。专业合规与注册服务补齐，将显著提升技术转化整体效率。关键工艺转化较快，但中试与注册环节仍是成果落地的瓶颈。</w:t>
      </w:r>
    </w:p>
    <w:p>
      <w:pPr>
        <w:spacing w:lineRule="exact" w:line="600" w:after="0"/>
        <w:ind w:firstLine="420"/>
      </w:pPr>
      <w:r>
        <w:rPr>
          <w:rFonts w:ascii="仿宋_GB2312" w:hAnsi="仿宋_GB2312" w:eastAsia="仿宋_GB2312"/>
          <w:b w:val="0"/>
          <w:sz w:val="32"/>
        </w:rPr>
        <w:t>提升技术转化效率，应构建研发、中试、检测、注册、量产全链条服务体系。鼓励龙头企业向中小企业开放中试能力，发展注册申报、合规咨询等专业服务，缩短新品上市周期，同时办好展会与对接会撮合成果与订单。专业合规与注册服务补齐，将显著提升技术转化整体效率。关键工艺转化较快，但中试与注册环节仍是成果落地的瓶颈。龙头向中小开放中试能力，有助于缩短新品上市周期。</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胶州市产业用工充裕，农村劳动力与产业工人储备充足，重点企业提供数以千计就业岗位，劳动力成本相对低于核心城区。成熟的种养与加工技能人才体系，为集群稳定运行提供了坚实的人力基础，普通劳动力供给总体充足。成熟的产业工人队伍为集群稳定运行提供了坚实人力基础。高层次工程与运营人才偏紧，是制约升级的主要人力短板。机器换人与定向培养并举，可把人力优势转向技能与效率优势。</w:t>
      </w:r>
    </w:p>
    <w:p>
      <w:pPr>
        <w:spacing w:lineRule="exact" w:line="600" w:after="0"/>
        <w:ind w:firstLine="420"/>
      </w:pPr>
      <w:r>
        <w:rPr>
          <w:rFonts w:ascii="仿宋_GB2312" w:hAnsi="仿宋_GB2312" w:eastAsia="仿宋_GB2312"/>
          <w:b w:val="0"/>
          <w:sz w:val="32"/>
        </w:rPr>
        <w:t>从技能结构看，集群拥有实用型产业工人，但高层次研发、品牌策划、电商运营与工程技术人员偏紧。龙头企业通过自有培训体系培养技工，中小企业在人才竞争中处于弱势。总体看，普通劳动力供给充足，结构性人才短缺是主要约束。高层次工程与运营人才偏紧，是制约升级的主要人力短板。机器换人与定向培养并举，可把人力优势转向技能与效率优势。</w:t>
      </w:r>
    </w:p>
    <w:p>
      <w:pPr>
        <w:spacing w:lineRule="exact" w:line="600" w:after="0"/>
        <w:ind w:firstLine="420"/>
      </w:pPr>
      <w:r>
        <w:rPr>
          <w:rFonts w:ascii="仿宋_GB2312" w:hAnsi="仿宋_GB2312" w:eastAsia="仿宋_GB2312"/>
          <w:b w:val="0"/>
          <w:sz w:val="32"/>
        </w:rPr>
        <w:t>应对路径包括深化校地合作定向培养，开展工匠与电商人才培训，完善人才引留政策。同时以机器换人缓解普工短缺、提升人均产出，把劳动力优势从数量型转向技能型，支撑集群向智能化、高附加值方向升级，筑牢人力要素根基。机器换人与定向培养并举，可把人力优势转向技能与效率优势。成熟的产业工人队伍为集群稳定运行提供了坚实人力基础。高层次工程与运营人才偏紧，是制约升级的主要人力短板。</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龙头企业自有资金、银行信贷与政府产业基金为主。重点企业持续增资扩产，显示资本信心；政府通过专项债、政策性资金与减税降费支持产业发展，并争取国家政策性资金创历年新高，为实体经济发展提供了有力支撑。减税降费与政策性资金缓解了企业负担，但中小融资仍存堵点。供应链金融与知识产权质押，可改善轻资产企业信贷可得性。</w:t>
      </w:r>
    </w:p>
    <w:p>
      <w:pPr>
        <w:spacing w:lineRule="exact" w:line="600" w:after="0"/>
        <w:ind w:firstLine="420"/>
      </w:pPr>
      <w:r>
        <w:rPr>
          <w:rFonts w:ascii="仿宋_GB2312" w:hAnsi="仿宋_GB2312" w:eastAsia="仿宋_GB2312"/>
          <w:b w:val="0"/>
          <w:sz w:val="32"/>
        </w:rPr>
        <w:t>从融资结构看，中小企业面临抵质押不足、融资贵问题，轻资产属性使信贷获取难度高于重资产制造。政府搭建金融服务实体经济机制，但中小企业获得感仍有差异。需丰富供应链金融、知识产权质押等工具，缓解成长企业资本约束。供应链金融与知识产权质押，可改善轻资产企业信贷可得性。设立产业基金有助于引导社会资本投向高成长的关键环节。减税降费与政策性资金缓解了企业负担，但中小融资仍存堵点。</w:t>
      </w:r>
    </w:p>
    <w:p>
      <w:pPr>
        <w:spacing w:lineRule="exact" w:line="600" w:after="0"/>
        <w:ind w:firstLine="420"/>
      </w:pPr>
      <w:r>
        <w:rPr>
          <w:rFonts w:ascii="仿宋_GB2312" w:hAnsi="仿宋_GB2312" w:eastAsia="仿宋_GB2312"/>
          <w:b w:val="0"/>
          <w:sz w:val="32"/>
        </w:rPr>
        <w:t>建议设立产业专项基金与风险补偿池，推广政银企风险共担，支持小升规与技改项目。引导社会资本投向高成长赛道，缓解初创与成长企业资本约束，形成龙头稳、中小活的资本生态，以资本要素保障集群扩容提质。设立产业基金有助于引导社会资本投向高成长的关键环节。减税降费与政策性资金缓解了企业负担，但中小融资仍存堵点。供应链金融与知识产权质押，可改善轻资产企业信贷可得性。</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方面，核心产业园区提供连片工业用地，承载龙头与规上企业；但随集群扩张，核心园区用地趋紧，需通过存量盘活与标准地供给保障项目落地。原料基地则依赖镇村耕地，受耕地红线与种植结构调整约束，空间资源需要精细配置。园区循环化改造与绿电应用，是降低能耗强度的现实路径。用地趋紧需靠存量盘活与标准地供给来保障重点项目落地。碳足迹管理尚处起步，应把绿色低碳作为扩容的前置条件。</w:t>
      </w:r>
    </w:p>
    <w:p>
      <w:pPr>
        <w:spacing w:lineRule="exact" w:line="600" w:after="0"/>
        <w:ind w:firstLine="420"/>
      </w:pPr>
      <w:r>
        <w:rPr>
          <w:rFonts w:ascii="仿宋_GB2312" w:hAnsi="仿宋_GB2312" w:eastAsia="仿宋_GB2312"/>
          <w:b w:val="0"/>
          <w:sz w:val="32"/>
        </w:rPr>
        <w:t>能耗与环保方面，加工属能耗与排放相对温和行业，但部分环节用水用电较多，废弃物集中排放对园区治污提出要求。集群推进机器换人与数字化节能，绿色工厂、清洁生产水平逐步提升，但整体碳足迹管理仍处起步阶段，需系统推进。用地趋紧需靠存量盘活与标准地供给来保障重点项目落地。碳足迹管理尚处起步，应把绿色低碳作为扩容的前置条件。园区循环化改造与绿电应用，是降低能耗强度的现实路径。</w:t>
      </w:r>
    </w:p>
    <w:p>
      <w:pPr>
        <w:spacing w:lineRule="exact" w:line="600" w:after="0"/>
        <w:ind w:firstLine="420"/>
      </w:pPr>
      <w:r>
        <w:rPr>
          <w:rFonts w:ascii="仿宋_GB2312" w:hAnsi="仿宋_GB2312" w:eastAsia="仿宋_GB2312"/>
          <w:b w:val="0"/>
          <w:sz w:val="32"/>
        </w:rPr>
        <w:t>下一步应推行园区循环化改造，建设集中污水处理与废弃物资源化利用设施，发展副产品综合利用。严格落实能耗双控与环保准入，引导新上项目采用绿色工艺与可再生能源，把土地集约与低碳发展作为集群扩容的前置条件。碳足迹管理尚处起步，应把绿色低碳作为扩容的前置条件。园区循环化改造与绿电应用，是降低能耗强度的现实路径。用地趋紧需靠存量盘活与标准地供给来保障重点项目落地。</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是集群的根基优势。胶州市具备较好的原料供给条件，部分品类产量充沛，为加工提供稳定源头。重点企业年处理与加工规模可观，显示本地原料供给规模可观，支撑了中下游制造的连续性与稳定性，是集群竞争力的重要基础。本地原料供给规模可观，为制造连续性提供基础保障。高端专用原料自给率不足，需扩大标准化与绿色有机基地。本地加外地双源供应，可有效平抑价格波动带来的成本冲击。</w:t>
      </w:r>
    </w:p>
    <w:p>
      <w:pPr>
        <w:spacing w:lineRule="exact" w:line="600" w:after="0"/>
        <w:ind w:firstLine="420"/>
      </w:pPr>
      <w:r>
        <w:rPr>
          <w:rFonts w:ascii="仿宋_GB2312" w:hAnsi="仿宋_GB2312" w:eastAsia="仿宋_GB2312"/>
          <w:b w:val="0"/>
          <w:sz w:val="32"/>
        </w:rPr>
        <w:t>从外部依赖看，部分专用原料仍需外地调入或进口，原料价格波动对成本影响明显。集群通过企业加农户订单模式稳定本地基地，并发展绿色有机原料，但高端专用原料自给率仍有提升空间，需扩大标准化基地以增强源头掌控力。高端专用原料自给率不足，需扩大标准化与绿色有机基地。本地加外地双源供应，可有效平抑价格波动带来的成本冲击。本地原料供给规模可观，为制造连续性提供基础保障。</w:t>
      </w:r>
    </w:p>
    <w:p>
      <w:pPr>
        <w:spacing w:lineRule="exact" w:line="600" w:after="0"/>
        <w:ind w:firstLine="420"/>
      </w:pPr>
      <w:r>
        <w:rPr>
          <w:rFonts w:ascii="仿宋_GB2312" w:hAnsi="仿宋_GB2312" w:eastAsia="仿宋_GB2312"/>
          <w:b w:val="0"/>
          <w:sz w:val="32"/>
        </w:rPr>
        <w:t>保障原材料安全，应扩大标准化订单基地与绿色有机认证面积，建设仓储与冷链原料库，平抑季节性波动。同时拓展本地加外地双源供应，与外地基地建立稳定协作，降低单一来源风险，把原料资源优势转化为全链可控的供应链优势。本地加外地双源供应，可有效平抑价格波动带来的成本冲击。本地原料供给规模可观，为制造连续性提供基础保障。高端专用原料自给率不足，需扩大标准化与绿色有机基地。</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中，集群以区域为基本盘，辐射全国商超与电商渠道。重点品类在商超与电商端有稳定份额，龙头企业产品面向全国。随着健康化、便捷化消费兴起，国内相关需求扩容为集群提供广阔空间，内销基本盘稳固且具成长性。区域基本盘稳固，新渠道增长为内销提供持续增量。终端掌控力偏弱，需加快自有渠道与区域公共品牌建设。细分场景专供产品有助于提升复购率与客单水平。</w:t>
      </w:r>
    </w:p>
    <w:p>
      <w:pPr>
        <w:spacing w:lineRule="exact" w:line="600" w:after="0"/>
        <w:ind w:firstLine="420"/>
      </w:pPr>
      <w:r>
        <w:rPr>
          <w:rFonts w:ascii="仿宋_GB2312" w:hAnsi="仿宋_GB2312" w:eastAsia="仿宋_GB2312"/>
          <w:b w:val="0"/>
          <w:sz w:val="32"/>
        </w:rPr>
        <w:t>渠道结构方面，传统批发流通仍占较大比重，电商与会员店、量贩零食等新渠道增长较快。集群举办产销对接会，组织优质企业对接渠道商，推动走出去。总体看，内销基本盘稳固，但终端掌控力与自有渠道占比仍待提升，需加快渠道多元化。终端掌控力偏弱，需加快自有渠道与区域公共品牌建设。细分场景专供产品有助于提升复购率与客单水平。区域基本盘稳固，新渠道增长为内销提供持续增量。</w:t>
      </w:r>
    </w:p>
    <w:p>
      <w:pPr>
        <w:spacing w:lineRule="exact" w:line="600" w:after="0"/>
        <w:ind w:firstLine="420"/>
      </w:pPr>
      <w:r>
        <w:rPr>
          <w:rFonts w:ascii="仿宋_GB2312" w:hAnsi="仿宋_GB2312" w:eastAsia="仿宋_GB2312"/>
          <w:b w:val="0"/>
          <w:sz w:val="32"/>
        </w:rPr>
        <w:t>建议深化生鲜电商加冷链宅配、中央厨房加食材冷链配送新模式，借力主流平台扩大线上份额。针对细分场景开发专供产品，提升复购与客单。通过区域公共品牌统一形象，减少内部价格竞争，整体做大国内市场份额，增强内需拉动力。细分场景专供产品有助于提升复购率与客单水平。区域基本盘稳固，新渠道增长为内销提供持续增量。终端掌控力偏弱，需加快自有渠道与区域公共品牌建设。</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是该集群的突出优势。产品远销亚太、欧洲、美洲等12个国家的70余家国际知名客户，是亚洲产能最大的直流变频电机生产制造基地。农产品与制成品出口已成为集群重要增长极，龙头企业海外订单稳定，部分品类出口量位居全国前列，显示出较强的国际竞争力与质量口碑，外贸对产值与就业贡献突出。产品远销亚太、欧洲、美洲等12个国家的70余家国际知名客户，是亚洲产能最大的直流变频电机生产制造基地凸显了该集群较强的国际竞争力与质量口碑。</w:t>
      </w:r>
    </w:p>
    <w:p>
      <w:pPr>
        <w:spacing w:lineRule="exact" w:line="600" w:after="0"/>
        <w:ind w:firstLine="420"/>
      </w:pPr>
      <w:r>
        <w:rPr>
          <w:rFonts w:ascii="仿宋_GB2312" w:hAnsi="仿宋_GB2312" w:eastAsia="仿宋_GB2312"/>
          <w:b w:val="0"/>
          <w:sz w:val="32"/>
        </w:rPr>
        <w:t>从市场结构看，传统市场稳定，东南亚与一带一路沿线新兴市场需求上升。集群组织企业参展、培育外贸主体，进出口总额保持增长，与一带一路国家合作贸易额增长明显。多元市场布局初见成效，外部需求为集群提供持续增量。多元市场布局初见成效，但部分市场依赖度仍偏高。跨境电商与合规服务，是抵御贸易壁垒的重要抓手。产品远销亚太、欧洲、美洲等12个国家的70余家国际知名客户，是亚洲产能最大的直流变频电机生产制造基地凸显了该集群较强的国际竞争力与质量口碑。</w:t>
      </w:r>
    </w:p>
    <w:p>
      <w:pPr>
        <w:spacing w:lineRule="exact" w:line="600" w:after="0"/>
        <w:ind w:firstLine="420"/>
      </w:pPr>
      <w:r>
        <w:rPr>
          <w:rFonts w:ascii="仿宋_GB2312" w:hAnsi="仿宋_GB2312" w:eastAsia="仿宋_GB2312"/>
          <w:b w:val="0"/>
          <w:sz w:val="32"/>
        </w:rPr>
        <w:t>需关注出口集中度与贸易壁垒风险。对部分市场依赖度较高，技术性贸易措施、汇率波动影响利润。应拓展东盟、中东、RCEP成员国等多元市场，发展跨境电商出口，建设出口合规与认证服务体系，提升应对国外技术壁垒的能力。跨境电商与合规服务，是抵御贸易壁垒的重要抓手。产品远销亚太、欧洲、美洲等12个国家的70余家国际知名客户，是亚洲产能最大的直流变频电机生产制造基地凸显了该集群较强的国际竞争力与质量口碑。</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方面，龙头企业具备较强品牌力，但大量中小企业以代工与白牌为主，区域公共品牌统领力不足。集群推进增品种提品质创品牌行动，绿色与有机认证逐步增加，但区域整体形象仍需系统塑强，品牌资产有待进一步积累。龙头企业品牌力较强，但区域公共品牌统领力仍不足。集体商标与质量溯源码，有助于提升整体溢价与辨识度。从卖产品向卖品牌、卖标准升级，是品牌建设的长远方向。</w:t>
      </w:r>
    </w:p>
    <w:p>
      <w:pPr>
        <w:spacing w:lineRule="exact" w:line="600" w:after="0"/>
        <w:ind w:firstLine="420"/>
      </w:pPr>
      <w:r>
        <w:rPr>
          <w:rFonts w:ascii="仿宋_GB2312" w:hAnsi="仿宋_GB2312" w:eastAsia="仿宋_GB2312"/>
          <w:b w:val="0"/>
          <w:sz w:val="32"/>
        </w:rPr>
        <w:t>从品牌层级看，企业品牌强于区域品牌，终端消费端对产地认知弱于对单个企业认知。可借鉴集体商标经验，打造区域公共品牌，统一品质标准与视觉形象，以公共品牌背书中小企业，提升整体溢价与辨识度，改变有产品缺品牌的局面。集体商标与质量溯源码，有助于提升整体溢价与辨识度。从卖产品向卖品牌、卖标准升级，是品牌建设的长远方向。龙头企业品牌力较强，但区域公共品牌统领力仍不足。</w:t>
      </w:r>
    </w:p>
    <w:p>
      <w:pPr>
        <w:spacing w:lineRule="exact" w:line="600" w:after="0"/>
        <w:ind w:firstLine="420"/>
      </w:pPr>
      <w:r>
        <w:rPr>
          <w:rFonts w:ascii="仿宋_GB2312" w:hAnsi="仿宋_GB2312" w:eastAsia="仿宋_GB2312"/>
          <w:b w:val="0"/>
          <w:sz w:val="32"/>
        </w:rPr>
        <w:t>建议实施区域品牌加企业品牌双轮驱动，建设质量溯源码与团体标准示范区，办好产销对接会与展会，讲好产地故事。支持企业争创驰名商标、高端品牌，推动从卖产品向卖品牌、卖标准升级，增强集群品牌资产与长期竞争力。从卖产品向卖品牌、卖标准升级，是品牌建设的长远方向。龙头企业品牌力较强，但区域公共品牌统领力仍不足。集体商标与质量溯源码，有助于提升整体溢价与辨识度。</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健康化、便捷化、个性化趋势。低糖、低脂、高纤维、功能性产品受青睐，细分场景加速，预制与方便食品需求快速扩张，为集群升级提供明确方向。消费结构变化正在重塑产品组合与研发重点，企业需加快适配。健康化与便捷化趋势，正重塑集群的产品组合与研发重点。直播与兴趣电商改变购买行为，数字化运营能力亟待提升。建立需求洞察机制，可把消费变化更快转化为真实订单。</w:t>
      </w:r>
    </w:p>
    <w:p>
      <w:pPr>
        <w:spacing w:lineRule="exact" w:line="600" w:after="0"/>
        <w:ind w:firstLine="420"/>
      </w:pPr>
      <w:r>
        <w:rPr>
          <w:rFonts w:ascii="仿宋_GB2312" w:hAnsi="仿宋_GB2312" w:eastAsia="仿宋_GB2312"/>
          <w:b w:val="0"/>
          <w:sz w:val="32"/>
        </w:rPr>
        <w:t>渠道端，直播电商、兴趣电商与量贩零食重塑购买行为，消费者决策更依赖内容与性价比。集群企业加快布局主流线上渠道，但与头部品牌相比，数字化营销与用户运营能力仍弱，需提升内容生产与私域运营水平以抓住新消费红利。直播与兴趣电商改变购买行为，数字化运营能力亟待提升。建立需求洞察机制，可把消费变化更快转化为真实订单。健康化与便捷化趋势，正重塑集群的产品组合与研发重点。</w:t>
      </w:r>
    </w:p>
    <w:p>
      <w:pPr>
        <w:spacing w:lineRule="exact" w:line="600" w:after="0"/>
        <w:ind w:firstLine="420"/>
      </w:pPr>
      <w:r>
        <w:rPr>
          <w:rFonts w:ascii="仿宋_GB2312" w:hAnsi="仿宋_GB2312" w:eastAsia="仿宋_GB2312"/>
          <w:b w:val="0"/>
          <w:sz w:val="32"/>
        </w:rPr>
        <w:t>从长期看，人口结构与悦己消费将并行拉动相关食品与休闲产品。集群应建立需求洞察机制，以数据驱动新品开发，缩短场景到研发到上市周期，把需求端变化转化为产品迭代与品类扩张的真实订单，避免供需错配导致库存积压。建立需求洞察机制，可把消费变化更快转化为真实订单。健康化与便捷化趋势，正重塑集群的产品组合与研发重点。直播与兴趣电商改变购买行为，数字化运营能力亟待提升。</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周边地市同类产业基础雄厚，与该集群在部分品类上存在同质竞争。该集群凭龙头企业与出口优势形成差异，但区域间招商引资与市场份额竞夺激烈。从区域竞争看，错位发展与特色品类是稳住地位的关键，应避免低水平重复。周边同类产区基础雄厚，错位与特色是稳住地位的关键。以出口质量与龙头赋能构筑壁垒，可拉开与内陆产区梯度差。避免低端产能重复，是区域竞争中形成不可替代优势的前提。</w:t>
      </w:r>
    </w:p>
    <w:p>
      <w:pPr>
        <w:spacing w:lineRule="exact" w:line="600" w:after="0"/>
        <w:ind w:firstLine="420"/>
      </w:pPr>
      <w:r>
        <w:rPr>
          <w:rFonts w:ascii="仿宋_GB2312" w:hAnsi="仿宋_GB2312" w:eastAsia="仿宋_GB2312"/>
          <w:b w:val="0"/>
          <w:sz w:val="32"/>
        </w:rPr>
        <w:t>全国看，主要产区在规模、品类与品牌上优势明显，相关赛道拥挤。若仅靠传统加工易陷入价格战，必须以特色属性、出口质量与龙头赋能构筑壁垒。差异化定位、抢占细分高地，是该集群在更广范围内保持竞争力的现实选择。以出口质量与龙头赋能构筑壁垒，可拉开与内陆产区梯度差。避免低端产能重复，是区域竞争中形成不可替代优势的前提。周边同类产区基础雄厚，错位与特色是稳住地位的关键。</w:t>
      </w:r>
    </w:p>
    <w:p>
      <w:pPr>
        <w:spacing w:lineRule="exact" w:line="600" w:after="0"/>
        <w:ind w:firstLine="420"/>
      </w:pPr>
      <w:r>
        <w:rPr>
          <w:rFonts w:ascii="仿宋_GB2312" w:hAnsi="仿宋_GB2312" w:eastAsia="仿宋_GB2312"/>
          <w:b w:val="0"/>
          <w:sz w:val="32"/>
        </w:rPr>
        <w:t>应对上，该集群应聚焦差异化定位，依托区域品牌与资源禀赋，抢占高附加值细分赛道，避免与周边在低端产能上重复。同时用好开放平台，以出口质量标杆拉开与内陆产区的梯度差，在区域竞争中形成不可替代的特色优势。避免低端产能重复，是区域竞争中形成不可替代优势的前提。周边同类产区基础雄厚，错位与特色是稳住地位的关键。以出口质量与龙头赋能构筑壁垒，可拉开与内陆产区梯度差。</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在三方面：一是中小企业多而不强，研发品牌弱、抗风险能力差；二是高附加值环节不足，价值链偏中低端；三是生产性服务业配套滞后，检测、设计、电商代运营等专业服务供给不足。这些问题叠加，制约集群由规模优势转向质量优势。中小企业多而不强，是制约质量优势的主要内部因素。同质化与低价内卷削弱利润，需以规范与品牌统领纠偏。</w:t>
      </w:r>
    </w:p>
    <w:p>
      <w:pPr>
        <w:spacing w:lineRule="exact" w:line="600" w:after="0"/>
        <w:ind w:firstLine="420"/>
      </w:pPr>
      <w:r>
        <w:rPr>
          <w:rFonts w:ascii="仿宋_GB2312" w:hAnsi="仿宋_GB2312" w:eastAsia="仿宋_GB2312"/>
          <w:b w:val="0"/>
          <w:sz w:val="32"/>
        </w:rPr>
        <w:t>从治理看，部分小微主体在质量、环保、财务合规方面不规范，影响区域品牌信誉；企业间同质化竞争、低价内卷偶有发生，削弱整体利润。协会与平台协调作用有待加强，统一标准、统一监管的执行力需提升，以避免劣币驱逐良币。同质化与低价内卷削弱利润，需以规范与品牌统领纠偏。公共服务短板使内部问题难以短期化解，须系统施策。中小企业多而不强，是制约质量优势的主要内部因素。</w:t>
      </w:r>
    </w:p>
    <w:p>
      <w:pPr>
        <w:spacing w:lineRule="exact" w:line="600" w:after="0"/>
        <w:ind w:firstLine="420"/>
      </w:pPr>
      <w:r>
        <w:rPr>
          <w:rFonts w:ascii="仿宋_GB2312" w:hAnsi="仿宋_GB2312" w:eastAsia="仿宋_GB2312"/>
          <w:b w:val="0"/>
          <w:sz w:val="32"/>
        </w:rPr>
        <w:t>破解内部问题需系统施策：以梯度培育壮大中间层企业，以公共平台补服务短板，以规范提升合规水平，以区域品牌统领减少内耗。把碎片化中小企业纳入协同网络，才能把企业多转化为集群强，真正释放组织化带来的效率红利。公共服务短板使内部问题难以短期化解，须系统施策。中小企业多而不强，是制约质量优势的主要内部因素。同质化与低价内卷削弱利润，需以规范与品牌统领纠偏。</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包括：国际市场技术性贸易壁垒与汇率波动，影响出口占比高品类的利润；原料价格国际波动向成本端传导；食品安全突发事件对区域品牌的系统性冲击；以及消费疲软导致内需放缓。多重风险需前瞻防范，建立预警与应急体系。贸易壁垒与汇率波动，对出口型环节利润形成持续压力。原料与设备对外依赖，带来供应链断点的潜在风险。食安突发事件可能引发系统性冲击，须健全追溯与应急。</w:t>
      </w:r>
    </w:p>
    <w:p>
      <w:pPr>
        <w:spacing w:lineRule="exact" w:line="600" w:after="0"/>
        <w:ind w:firstLine="420"/>
      </w:pPr>
      <w:r>
        <w:rPr>
          <w:rFonts w:ascii="仿宋_GB2312" w:hAnsi="仿宋_GB2312" w:eastAsia="仿宋_GB2312"/>
          <w:b w:val="0"/>
          <w:sz w:val="32"/>
        </w:rPr>
        <w:t>从产业链安全看，高端专用原料与部分设备对外依赖，供应链断点可能影响生产连续性。极端气候与动物疫病对种养环节构成潜在冲击，需完善防控与保险机制。总体看，外部风险具有突发性与传导性，对出口型集群影响更显著，须未雨绸缪。原料与设备对外依赖，带来供应链断点的潜在风险。食安突发事件可能引发系统性冲击，须健全追溯与应急。贸易壁垒与汇率波动，对出口型环节利润形成持续压力。</w:t>
      </w:r>
    </w:p>
    <w:p>
      <w:pPr>
        <w:spacing w:lineRule="exact" w:line="600" w:after="0"/>
        <w:ind w:firstLine="420"/>
      </w:pPr>
      <w:r>
        <w:rPr>
          <w:rFonts w:ascii="仿宋_GB2312" w:hAnsi="仿宋_GB2312" w:eastAsia="仿宋_GB2312"/>
          <w:b w:val="0"/>
          <w:sz w:val="32"/>
        </w:rPr>
        <w:t>建议建立风险预警与应急体系：拓展原料多元来源、建设战略储备、完善出口合规与认证服务、健全食品安全追溯与召回机制、运用期货与保险工具对冲价格风险。提升集群韧性，方能在外部冲击下保持稳定发展与就业容纳能力。食安突发事件可能引发系统性冲击，须健全追溯与应急。贸易壁垒与汇率波动，对出口型环节利润形成持续压力。原料与设备对外依赖，带来供应链断点的潜在风险。</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集群契合国家战略与区域创新型产业体系，并纳入省级特色产业集群认定，从省级层面确认其特色优势，为后续资金、项目与品牌支持提供政策依据。上级规划与本级部署形成连贯支撑，政策环境总体向好。省级认定从政策层面确认特色优势，为后续支持提供依据。上级规划与本级部署衔接，形成连贯的顶层政策支撑。把规划目标转化为年度行动，是避免政策悬空的关键。</w:t>
      </w:r>
    </w:p>
    <w:p>
      <w:pPr>
        <w:spacing w:lineRule="exact" w:line="600" w:after="0"/>
        <w:ind w:firstLine="420"/>
      </w:pPr>
      <w:r>
        <w:rPr>
          <w:rFonts w:ascii="仿宋_GB2312" w:hAnsi="仿宋_GB2312" w:eastAsia="仿宋_GB2312"/>
          <w:b w:val="0"/>
          <w:sz w:val="32"/>
        </w:rPr>
        <w:t>从规划引领看，相关规划将健康食品饮料列为重点产业，并提出阶段性规模目标。区域构建创新型产业体系方案将相关赛道作为优势方向，上级政策与本级规划形成连贯支撑。顶层政策利好明确，为集群中长期发展锚定了方向。上级规划与本级部署衔接，形成连贯的顶层政策支撑。把规划目标转化为年度行动，是避免政策悬空的关键。省级认定从政策层面确认特色优势，为后续支持提供依据。</w:t>
      </w:r>
    </w:p>
    <w:p>
      <w:pPr>
        <w:spacing w:lineRule="exact" w:line="600" w:after="0"/>
        <w:ind w:firstLine="420"/>
      </w:pPr>
      <w:r>
        <w:rPr>
          <w:rFonts w:ascii="仿宋_GB2312" w:hAnsi="仿宋_GB2312" w:eastAsia="仿宋_GB2312"/>
          <w:b w:val="0"/>
          <w:sz w:val="32"/>
        </w:rPr>
        <w:t>总体看，顶层政策利好明确，但需把规划目标转化为年度行动。建议对接省级特色产业集群扶持政策与区域产业政策支持包，争取试点示范与专项资金，把省级认定红利转化为具体项目、平台与企业的获得感，避免政策悬空落不实。把规划目标转化为年度行动，是避免政策悬空的关键。省级认定从政策层面确认特色优势，为后续支持提供依据。上级规划与本级部署衔接，形成连贯的顶层政策支撑。</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方面，胶州市落实各级政策清单，为科技创新和制造业减税降费，并争取专项债、特别国债、中央预算内资金创历年新高。针对主导产业，出台链主培育、试点园区等专项举措，扶持龙头与骨干企业，政策工具箱较为丰富。减税降费与政策性资金创近年新高，企业获得感明显增强。一事一议、一企一策破解堵点，营商环境持续优化。靶向奖补与产业基金，可把扶持更直接转化为投资动力。</w:t>
      </w:r>
    </w:p>
    <w:p>
      <w:pPr>
        <w:spacing w:lineRule="exact" w:line="600" w:after="0"/>
        <w:ind w:firstLine="420"/>
      </w:pPr>
      <w:r>
        <w:rPr>
          <w:rFonts w:ascii="仿宋_GB2312" w:hAnsi="仿宋_GB2312" w:eastAsia="仿宋_GB2312"/>
          <w:b w:val="0"/>
          <w:sz w:val="32"/>
        </w:rPr>
        <w:t>从要素保障看，地方推进开工、纳统、投资三张清单，建设类项目全部开工纳统；实施金融服务实体经济行动，制造业中长期贷款、普惠小微贷款分别增长。对重点项目实行一事一议、一企一策，集中解决用地、融资、审批等堵点，营商环境持续优化。一事一议、一企一策破解堵点，营商环境持续优化。靶向奖补与产业基金，可把扶持更直接转化为投资动力。</w:t>
      </w:r>
    </w:p>
    <w:p>
      <w:pPr>
        <w:spacing w:lineRule="exact" w:line="600" w:after="0"/>
        <w:ind w:firstLine="420"/>
      </w:pPr>
      <w:r>
        <w:rPr>
          <w:rFonts w:ascii="仿宋_GB2312" w:hAnsi="仿宋_GB2312" w:eastAsia="仿宋_GB2312"/>
          <w:b w:val="0"/>
          <w:sz w:val="32"/>
        </w:rPr>
        <w:t>建议进一步细化产业集群专项政策：对技改、研发、电商、出口给予靶向奖补；设立产业基金；对小升规、首台套、首批次给予激励。同时把政策送到中小企业家门口，提升知晓度与兑现效率，让扶持政策真正转化为企业投资与创新动力。靶向奖补与产业基金，可把扶持更直接转化为投资动力。减税降费与政策性资金创近年新高，企业获得感明显增强。一事一议、一企一策破解堵点，营商环境持续优化。</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园区基础设施、冷链物流、检测溯源与政务服务为主。核心产业园区与专业园区提供标准化厂房与配套设施；数字化溯源平台实现全流程可追溯；高效办成一件事改革使高频事项集成办，提升办事效率，企业获得感增强。园区与数字化溯源平台完善，提升了公共服务供给水平。中小微创服务平台仍不足，是配套补短的重点方向。深化数字政务与跨境便利，可把配套从有水通电升为赋能。</w:t>
      </w:r>
    </w:p>
    <w:p>
      <w:pPr>
        <w:spacing w:lineRule="exact" w:line="600" w:after="0"/>
        <w:ind w:firstLine="420"/>
      </w:pPr>
      <w:r>
        <w:rPr>
          <w:rFonts w:ascii="仿宋_GB2312" w:hAnsi="仿宋_GB2312" w:eastAsia="仿宋_GB2312"/>
          <w:b w:val="0"/>
          <w:sz w:val="32"/>
        </w:rPr>
        <w:t>从公共设施看，仓储、冷链物流与电商快递体系逐步完善，但面向中小企业的公共研发中试、检验检测、包装设计等服务平台仍不足。政务服务方面，地方推行审管执信联动与智慧服务，部分经验在全省推广，企业办事便利度明显改善。中小微创服务平台仍不足，是配套补短的重点方向。深化数字政务与跨境便利，可把配套从有水通电升为赋能。园区与数字化溯源平台完善，提升了公共服务供给水平。</w:t>
      </w:r>
    </w:p>
    <w:p>
      <w:pPr>
        <w:spacing w:lineRule="exact" w:line="600" w:after="0"/>
        <w:ind w:firstLine="420"/>
      </w:pPr>
      <w:r>
        <w:rPr>
          <w:rFonts w:ascii="仿宋_GB2312" w:hAnsi="仿宋_GB2312" w:eastAsia="仿宋_GB2312"/>
          <w:b w:val="0"/>
          <w:sz w:val="32"/>
        </w:rPr>
        <w:t>下一步应补齐公共创新与服务平台短板：建设共性技术中试基地、公共检测中心、工业设计中心，向中小企业低成本开放；完善冷链干支线网络与海外仓；深化数字政务与跨境贸易便利，把公共配套从有水通电升级为赋能增效的高质量供给。深化数字政务与跨境便利，可把配套从有水通电升为赋能。园区与数字化溯源平台完善，提升了公共服务供给水平。中小微创服务平台仍不足，是配套补短的重点方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撮合供需、制定标准、组织展会、自律规范方面发挥日益重要作用。地方依托产业协会与龙头牵头，组织产销对接会、展会与培训，推动企业间协作。借鉴其他地区协会四统一经验，协会可在统一品牌、包装、监管、配送上提升组织化程度。协会在撮合供需与制定标准方面作用日益重要。对小微覆盖与约束力有限，需进一步做实做强。以协会为纽带织密协同网络，可提升集群整体治理效能。</w:t>
      </w:r>
    </w:p>
    <w:p>
      <w:pPr>
        <w:spacing w:lineRule="exact" w:line="600" w:after="0"/>
        <w:ind w:firstLine="420"/>
      </w:pPr>
      <w:r>
        <w:rPr>
          <w:rFonts w:ascii="仿宋_GB2312" w:hAnsi="仿宋_GB2312" w:eastAsia="仿宋_GB2312"/>
          <w:b w:val="0"/>
          <w:sz w:val="32"/>
        </w:rPr>
        <w:t>从现实看，协会对中小企业的覆盖与约束力仍有限，部分小微主体游离于组织网络之外，标准执行与价格自律难落地。相较成熟地区，本地协会在团体标准制定、质量溯源码推广、集体商标运营方面仍有提升空间，需进一步做实做强。对小微覆盖与约束力有限，需进一步做实做强。以协会为纽带织密协同网络，可提升集群整体治理效能。协会在撮合供需与制定标准方面作用日益重要。</w:t>
      </w:r>
    </w:p>
    <w:p>
      <w:pPr>
        <w:spacing w:lineRule="exact" w:line="600" w:after="0"/>
        <w:ind w:firstLine="420"/>
      </w:pPr>
      <w:r>
        <w:rPr>
          <w:rFonts w:ascii="仿宋_GB2312" w:hAnsi="仿宋_GB2312" w:eastAsia="仿宋_GB2312"/>
          <w:b w:val="0"/>
          <w:sz w:val="32"/>
        </w:rPr>
        <w:t>建议做强产业协会与产业联盟，吸纳中小会员、建立自律公约，牵头制定团体标准与质量溯源规范，组织联合参展与抱团采购，降低中小企业市场与研发成本。以协会为纽带，把分散企业织成协同有序的集群网络，提升整体治理效能。以协会为纽带织密协同网络，可提升集群整体治理效能。协会在撮合供需与制定标准方面作用日益重要。对小微覆盖与约束力有限，需进一步做实做强。</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截至2024年底，智能家电电路板特色产业集群汇聚企业105家，实现产值250.01亿元；2025年一季度智能家电产业完成营业收入84.97亿元，同比增长18.9%，预计全年实现营业收入320亿元，是青岛市胶州市重要的工业板块。集群带动上下游配套企业协同发展，对全市工业增长、税收与外贸贡献突出，稳居实体经济压舱石地位，对区域生产总值形成有力支撑。</w:t>
      </w:r>
    </w:p>
    <w:p>
      <w:pPr>
        <w:spacing w:lineRule="exact" w:line="600" w:after="0"/>
        <w:ind w:firstLine="420"/>
      </w:pPr>
      <w:r>
        <w:rPr>
          <w:rFonts w:ascii="仿宋_GB2312" w:hAnsi="仿宋_GB2312" w:eastAsia="仿宋_GB2312"/>
          <w:b w:val="0"/>
          <w:sz w:val="32"/>
        </w:rPr>
        <w:t>从质量看，龙头引领带动产业链增值，新增长点不断涌现，产业与农业深度融合，推动粮头食尾、农头工尾，把农业与资源大市优势转化为工业与税收增量。重点项目投产扩能，为产值增长提供了持续动力，经济上行动能较为扎实。产业与农业深度融合，把资源优势转化为税收与产值增量。提升高附加值占比，是增强经济效应含金量的关键。截至2024年底，智能家电电路板特色产业集群汇聚企业105家，实现产值250.01亿元显示该板块已成为区域工业的重要支柱。</w:t>
      </w:r>
    </w:p>
    <w:p>
      <w:pPr>
        <w:spacing w:lineRule="exact" w:line="600" w:after="0"/>
        <w:ind w:firstLine="420"/>
      </w:pPr>
      <w:r>
        <w:rPr>
          <w:rFonts w:ascii="仿宋_GB2312" w:hAnsi="仿宋_GB2312" w:eastAsia="仿宋_GB2312"/>
          <w:b w:val="0"/>
          <w:sz w:val="32"/>
        </w:rPr>
        <w:t>需提升经济效应的含金量：在规模稳增基础上，提高高附加值产品与自有品牌占比，增强盈利与抗周期能力。通过补链强链把更多价值留在本地，避免产值大、利润薄。总体看，经济效应扎实，结构优化空间仍然可观，质量效益待提升。提升高附加值占比，是增强经济效应含金量的关键。截至2024年底，智能家电电路板特色产业集群汇聚企业105家，实现产值250.01亿元显示该板块已成为区域工业的重要支柱。</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产业劳动密集型特征明显，重点企业提供数以千计岗位，集聚区上下游配套吸纳大量本地劳动力，是吸纳农村转移就业与女性就业的重要渠道，对稳就业、促增收作用直接而显著，民生温度较高，社会效益实在。劳动密集型特征使集群成为吸纳就业的重要渠道。订单农业把就业留在镇村，对促增收作用直接而显著。完善社保与培训，可让就业效应更公平惠及本地居民。</w:t>
      </w:r>
    </w:p>
    <w:p>
      <w:pPr>
        <w:spacing w:lineRule="exact" w:line="600" w:after="0"/>
        <w:ind w:firstLine="420"/>
      </w:pPr>
      <w:r>
        <w:rPr>
          <w:rFonts w:ascii="仿宋_GB2312" w:hAnsi="仿宋_GB2312" w:eastAsia="仿宋_GB2312"/>
          <w:b w:val="0"/>
          <w:sz w:val="32"/>
        </w:rPr>
        <w:t>从带动看，企业加农户、订单农业等模式把种养、分装、物流等环节就业留在镇村，促进农民增收。龙头企业的稳定用工与技能培训，提升本地产业工人素质。产业季节性相对平缓，就业稳定性优于单纯种植，对稳岗扩岗意义重大。订单农业把就业留在镇村，对促增收作用直接而显著。完善社保与培训，可让就业效应更公平惠及本地居民。劳动密集型特征使集群成为吸纳就业的重要渠道。</w:t>
      </w:r>
    </w:p>
    <w:p>
      <w:pPr>
        <w:spacing w:lineRule="exact" w:line="600" w:after="0"/>
        <w:ind w:firstLine="420"/>
      </w:pPr>
      <w:r>
        <w:rPr>
          <w:rFonts w:ascii="仿宋_GB2312" w:hAnsi="仿宋_GB2312" w:eastAsia="仿宋_GB2312"/>
          <w:b w:val="0"/>
          <w:sz w:val="32"/>
        </w:rPr>
        <w:t>建议以产业集群为抓手深化就业帮扶：支持企业扩岗、开展订单式培训，把农村劳动力导入产业链；发展电商直播等新业态灵活就业；完善社保与权益保障，让集群发展成果更公平惠及本地居民，巩固就业这一最直观的民生效应。完善社保与培训，可让就业效应更公平惠及本地居民。劳动密集型特征使集群成为吸纳就业的重要渠道。订单农业把就业留在镇村，对促增收作用直接而显著。</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农业升级、乡村振兴与城镇集聚。集群拉动标准化基地建设，推动农产品商品化与品牌化；冷链物流带动包装、装备、电商等关联产业，形成一业兴、百业旺的乘数效应，辐射周边镇村，拓展县域经济边界与活力。集群拉动标准基地与关联产业，形成乘数效应。强化区域产业辨识度，带动商贸物流文旅融合发展。以订单反哺乡村，可把溢出效应转化为共富实质成果。</w:t>
      </w:r>
    </w:p>
    <w:p>
      <w:pPr>
        <w:spacing w:lineRule="exact" w:line="600" w:after="0"/>
        <w:ind w:firstLine="420"/>
      </w:pPr>
      <w:r>
        <w:rPr>
          <w:rFonts w:ascii="仿宋_GB2312" w:hAnsi="仿宋_GB2312" w:eastAsia="仿宋_GB2312"/>
          <w:b w:val="0"/>
          <w:sz w:val="32"/>
        </w:rPr>
        <w:t>从区域看，集群强化区域产业定位，提升城市产业辨识度与招商吸引力，促进人口、资本、人才向园区周边集聚，带动商贸、物流、文旅融合发展。特色制造与乡村旅游、研学结合，延伸出新文旅业态，进一步放大集群的外部正效应。强化区域产业辨识度，带动商贸物流文旅融合发展。以订单反哺乡村，可把溢出效应转化为共富实质成果。集群拉动标准基地与关联产业，形成乘数效应。</w:t>
      </w:r>
    </w:p>
    <w:p>
      <w:pPr>
        <w:spacing w:lineRule="exact" w:line="600" w:after="0"/>
        <w:ind w:firstLine="420"/>
      </w:pPr>
      <w:r>
        <w:rPr>
          <w:rFonts w:ascii="仿宋_GB2312" w:hAnsi="仿宋_GB2312" w:eastAsia="仿宋_GB2312"/>
          <w:b w:val="0"/>
          <w:sz w:val="32"/>
        </w:rPr>
        <w:t>进一步释放溢出效应，应加强集群与农业、文旅、电商协同：建设主题研学与工业旅游，发展中央厨房加文旅餐饮；以集群订单反哺乡村产业，完善联农带农机制，让溢出效应更多转化为县域共同富裕与乡村全面振兴的实质成果。以订单反哺乡村，可把溢出效应转化为共富实质成果。集群拉动标准基地与关联产业，形成乘数效应。强化区域产业辨识度，带动商贸物流文旅融合发展。</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关系重要民生保障，提升本地优质产品供给能力，增强居民获得感。作为区域乡村振兴的核心产业，集群在巩固脱贫、促进城乡融合上发挥重要作用，是产业振兴层面的生动实践，对基层治理与社会稳定贡献积极。关系重要民生保障，提升本地优质产品供给能力。龙头企业成为城市名片，增强对外美誉与社会认同。以绿色发展与共富机制，可把社会效应制度化、可持续化。</w:t>
      </w:r>
    </w:p>
    <w:p>
      <w:pPr>
        <w:spacing w:lineRule="exact" w:line="600" w:after="0"/>
        <w:ind w:firstLine="420"/>
      </w:pPr>
      <w:r>
        <w:rPr>
          <w:rFonts w:ascii="仿宋_GB2312" w:hAnsi="仿宋_GB2312" w:eastAsia="仿宋_GB2312"/>
          <w:b w:val="0"/>
          <w:sz w:val="32"/>
        </w:rPr>
        <w:t>从社会认同看，龙头企业成为城市名片，提升对外美誉度；产销对接、展会与公共品牌活动增强社会参与感。集群发展还带动教育、医疗等公共服务需求与投入，间接改善人居环境与公共服务均衡度，促进社会事业同步发展。龙头企业成为城市名片，增强对外美誉与社会认同。以绿色发展与共富机制，可把社会效应制度化、可持续化。关系重要民生保障，提升本地优质产品供给能力。</w:t>
      </w:r>
    </w:p>
    <w:p>
      <w:pPr>
        <w:spacing w:lineRule="exact" w:line="600" w:after="0"/>
        <w:ind w:firstLine="420"/>
      </w:pPr>
      <w:r>
        <w:rPr>
          <w:rFonts w:ascii="仿宋_GB2312" w:hAnsi="仿宋_GB2312" w:eastAsia="仿宋_GB2312"/>
          <w:b w:val="0"/>
          <w:sz w:val="32"/>
        </w:rPr>
        <w:t>需把社会效应制度化：以集体商标、质量溯源与食安承诺筑牢信任；以共富公司与合作社让农民共享产业红利；以绿色低碳生产守护生态环境。让集群不仅是经济增长引擎，更成为惠民、安心、可持续的社会治理支点，实现发展共享。以绿色发展与共富机制，可把社会效应制度化、可持续化。关系重要民生保障，提升本地优质产品供给能力。龙头企业成为城市名片，增强对外美誉与社会认同。</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可归纳为四类：其一，规模虽大但附加值偏低，价值链偏中端，高附加值与自有品牌环节不足；其二，中小企业多而不强，研发与品牌能力弱，抗风险能力差；其三，生产性服务业配套滞后，公共研发、检测、设计服务供给不足。规模与附加值、传统与新兴、制造与服务的不平衡较为突出。供应链安全与品牌统领力，是需重点破解的两类深层问题。</w:t>
      </w:r>
    </w:p>
    <w:p>
      <w:pPr>
        <w:spacing w:lineRule="exact" w:line="600" w:after="0"/>
        <w:ind w:firstLine="420"/>
      </w:pPr>
      <w:r>
        <w:rPr>
          <w:rFonts w:ascii="仿宋_GB2312" w:hAnsi="仿宋_GB2312" w:eastAsia="仿宋_GB2312"/>
          <w:b w:val="0"/>
          <w:sz w:val="32"/>
        </w:rPr>
        <w:t>其四，原料高端专用环节对外依赖，供应链安全有隐患；其五，内部同质化竞争与合规参差并存，区域公共品牌统领力不强；其六，外部面临贸易壁垒、原料价格波动与食安风险。上述问题相互交织，构成集群由大向强跃升的主要约束，需系统破解。供应链安全与品牌统领力，是需重点破解的两类深层问题。问题清单即改革清单，应逐项对应到具体行动中去。</w:t>
      </w:r>
    </w:p>
    <w:p>
      <w:pPr>
        <w:spacing w:lineRule="exact" w:line="600" w:after="0"/>
        <w:ind w:firstLine="420"/>
      </w:pPr>
      <w:r>
        <w:rPr>
          <w:rFonts w:ascii="仿宋_GB2312" w:hAnsi="仿宋_GB2312" w:eastAsia="仿宋_GB2312"/>
          <w:b w:val="0"/>
          <w:sz w:val="32"/>
        </w:rPr>
        <w:t>总体看，该集群根基扎实、龙头强劲、特色突出，具备进一步做大做强的良好条件，但必须在强链、提质、协同、安全上系统破题。问题清单即改革清单，应逐项对应到补链强链与要素保障的具体行动中，以问题导向推动高质量发展。问题清单即改革清单，应逐项对应到具体行动中去。规模与附加值、传统与新兴、制造与服务的不平衡较为突出。供应链安全与品牌统领力，是需重点破解的两类深层问题。</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功能性配料、关键材料、包装设计、检测认证等薄弱环节，建设公共中试与检测平台，降低中小企业配套门槛。延链方面，向高附加值终端延伸，提升单位产值与利润空间，把产业链做深做精，增强整体抗风险能力。补研发设计与检测短板，是强链的首要任务。向高附加值终端延伸，可显著提升单位产值与利润。错位竞争、特色制胜，是强链之路的现实选择。</w:t>
      </w:r>
    </w:p>
    <w:p>
      <w:pPr>
        <w:spacing w:lineRule="exact" w:line="600" w:after="0"/>
        <w:ind w:firstLine="420"/>
      </w:pPr>
      <w:r>
        <w:rPr>
          <w:rFonts w:ascii="仿宋_GB2312" w:hAnsi="仿宋_GB2312" w:eastAsia="仿宋_GB2312"/>
          <w:b w:val="0"/>
          <w:sz w:val="32"/>
        </w:rPr>
        <w:t>强链方面，做强链主企业并培育第二梯队，推动重点企业向研发与品牌两端攀升；以专业园区为支点，发展中央厨房加冷链配送等新业态；建设产业大脑，用数字化贯通研发、生产、质量与销售，提升链条整体效率与韧性，强化协同优势。向高附加值终端延伸，可显著提升单位产值与利润。错位竞争、特色制胜，是强链之路的现实选择。补研发设计与检测短板，是强链的首要任务。</w:t>
      </w:r>
    </w:p>
    <w:p>
      <w:pPr>
        <w:spacing w:lineRule="exact" w:line="600" w:after="0"/>
        <w:ind w:firstLine="420"/>
      </w:pPr>
      <w:r>
        <w:rPr>
          <w:rFonts w:ascii="仿宋_GB2312" w:hAnsi="仿宋_GB2312" w:eastAsia="仿宋_GB2312"/>
          <w:b w:val="0"/>
          <w:sz w:val="32"/>
        </w:rPr>
        <w:t>从方向看，应坚持健康赋能、品牌引领、全链增值，聚焦核心链条做深做精，抢占高附加值细分高地，避免与周边产区在低端产能重复，走出一条错位竞争、特色制胜的强链之路，持续提升产业链现代化水平与全球竞争力。错位竞争、特色制胜，是强链之路的现实选择。补研发设计与检测短板，是强链的首要任务。向高附加值终端延伸，可显著提升单位产值与利润。</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实施梯度策略：对链主支持其增资扩产与全球研发布局；对骨干推动专精特新与高端品牌培育；对广大中小企业推进个转企、小升规，通过技改、电商、质量提升增强生存与成长能力，形成梯次分明、活力充沛的企业矩阵。梯度培育龙头、骨干与小微，形成活力充沛的企业矩阵。鼓励链主开放订单与渠道，构建融通生态。要素差别化配置，倒逼低效企业转型或退出。</w:t>
      </w:r>
    </w:p>
    <w:p>
      <w:pPr>
        <w:spacing w:lineRule="exact" w:line="600" w:after="0"/>
        <w:ind w:firstLine="420"/>
      </w:pPr>
      <w:r>
        <w:rPr>
          <w:rFonts w:ascii="仿宋_GB2312" w:hAnsi="仿宋_GB2312" w:eastAsia="仿宋_GB2312"/>
          <w:b w:val="0"/>
          <w:sz w:val="32"/>
        </w:rPr>
        <w:t>从协同看，鼓励龙头向中小企业开放订单、中试与渠道，构建大中小企业融通生态；支持中小企业抱团入驻园区、共享检测与电商服务，降低单体成本。对拟升规企业给予专项辅导与奖补，缩短小升规周期，壮大中间层企业群体，优化结构。鼓励链主开放订单与渠道，构建融通生态。要素差别化配置，倒逼低效企业转型或退出。梯度培育龙头、骨干与小微，形成活力充沛的企业矩阵。</w:t>
      </w:r>
    </w:p>
    <w:p>
      <w:pPr>
        <w:spacing w:lineRule="exact" w:line="600" w:after="0"/>
        <w:ind w:firstLine="420"/>
      </w:pPr>
      <w:r>
        <w:rPr>
          <w:rFonts w:ascii="仿宋_GB2312" w:hAnsi="仿宋_GB2312" w:eastAsia="仿宋_GB2312"/>
          <w:b w:val="0"/>
          <w:sz w:val="32"/>
        </w:rPr>
        <w:t>建议建立企业综合评价，实行资源要素差别化配置，倒逼低效企业转型或退出，把土地、资金、能耗导向高效企业。以链主加配套招商补强短板环节，形成引进一个、带动一串的集群化培育格局，持续提升企业群体整体竞争力。要素差别化配置，倒逼低效企业转型或退出。梯度培育龙头、骨干与小微，形成活力充沛的企业矩阵。鼓励链主开放订单与渠道，构建融通生态。</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以应用研发加公共平台双轮驱动。支持龙头建设企业技术中心与中试线，联合高校攻关关键工艺；政府牵头建设共性技术平台与检验检测中心，向中小企业低成本开放共享，弥补中小企业研发短板，提升整体创新效率。应用研发加公共平台双轮驱动，弥补中小研发短板。全链条服务体系缩短上市周期，提升转化效率。人才是创新根本，需定向培养与引育并重。</w:t>
      </w:r>
    </w:p>
    <w:p>
      <w:pPr>
        <w:spacing w:lineRule="exact" w:line="600" w:after="0"/>
        <w:ind w:firstLine="420"/>
      </w:pPr>
      <w:r>
        <w:rPr>
          <w:rFonts w:ascii="仿宋_GB2312" w:hAnsi="仿宋_GB2312" w:eastAsia="仿宋_GB2312"/>
          <w:b w:val="0"/>
          <w:sz w:val="32"/>
        </w:rPr>
        <w:t>从成果转化看，构建研发、中试、检测、注册、量产全链条服务，发展注册申报与合规咨询专业机构，缩短新品上市周期。依托产业大脑归集产销研数据，以需求洞察驱动配方优化，把研发投入转化为可量化新产品与新增收，增强创新贡献。全链条服务体系缩短上市周期，提升转化效率。人才是创新根本，需定向培养与引育并重。应用研发加公共平台双轮驱动，弥补中小研发短板。</w:t>
      </w:r>
    </w:p>
    <w:p>
      <w:pPr>
        <w:spacing w:lineRule="exact" w:line="600" w:after="0"/>
        <w:ind w:firstLine="420"/>
      </w:pPr>
      <w:r>
        <w:rPr>
          <w:rFonts w:ascii="仿宋_GB2312" w:hAnsi="仿宋_GB2312" w:eastAsia="仿宋_GB2312"/>
          <w:b w:val="0"/>
          <w:sz w:val="32"/>
        </w:rPr>
        <w:t>人才是创新根本。深化校地合作定向培养工程技术人员、质量官与电商运营人才；引育高层次研发与品牌团队，落实人才政策；开展工匠与数字技能培训。以机器换人与智能化改造提升人均产出，把劳动力优势转化为创新与效率优势。人才是创新根本，需定向培养与引育并重。应用研发加公共平台双轮驱动，弥补中小研发短板。全链条服务体系缩短上市周期，提升转化效率。</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上，土地方面推行标准地与存量盘活，优先保障龙头技改与园区用地；资本方面设立产业基金与风险补偿池，推广供应链金融与知识产权质押，缓解中小企业融资难；用能方面实施园区循环化改造与绿电应用，降低能耗与排放强度。土地、资本、用能精准配置到高效企业与关键环节。双源供应与仓储建设，平抑原料价格波动冲击。要素保障一件事专班，支撑企业投资预期稳定。</w:t>
      </w:r>
    </w:p>
    <w:p>
      <w:pPr>
        <w:spacing w:lineRule="exact" w:line="600" w:after="0"/>
        <w:ind w:firstLine="420"/>
      </w:pPr>
      <w:r>
        <w:rPr>
          <w:rFonts w:ascii="仿宋_GB2312" w:hAnsi="仿宋_GB2312" w:eastAsia="仿宋_GB2312"/>
          <w:b w:val="0"/>
          <w:sz w:val="32"/>
        </w:rPr>
        <w:t>原料方面，扩大绿色有机标准化订单基地，建设仓储与冷链原料库，建立本地加外地双源供应，平抑价格波动；用工方面完善技能培训与用工服务，以自动化缓解普工短缺。把要素精准配置到高效企业与关键环节，提升全要素生产率。双源供应与仓储建设，平抑原料价格波动冲击。要素保障一件事专班，支撑企业投资预期稳定。土地、资本、用能精准配置到高效企业与关键环节。</w:t>
      </w:r>
    </w:p>
    <w:p>
      <w:pPr>
        <w:spacing w:lineRule="exact" w:line="600" w:after="0"/>
        <w:ind w:firstLine="420"/>
      </w:pPr>
      <w:r>
        <w:rPr>
          <w:rFonts w:ascii="仿宋_GB2312" w:hAnsi="仿宋_GB2312" w:eastAsia="仿宋_GB2312"/>
          <w:b w:val="0"/>
          <w:sz w:val="32"/>
        </w:rPr>
        <w:t>建议建立集群要素保障一件事机制，对用地、融资、环评、用能实行专班服务与一企一策，推广大走访经验，下沉服务重心。以要素保障的确定性，支撑企业投资与技术改造的预期稳定性，筑牢集群扩容提质的基础，增强发展韧性。要素保障一件事专班，支撑企业投资预期稳定。土地、资本、用能精准配置到高效企业与关键环节。双源供应与仓储建设，平抑原料价格波动冲击。</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系统集成与落地兑现。对接省级特色产业集群扶持政策与区域产业政策支持包，争取试点示范与专项资金；细化本级专项政策，对技改、研发、电商、出口给予靶向奖补，并提升政策知晓度与兑现效率，避免空中政策落不了地。系统集成与落地兑现，是政策优化的核心要求。做实协会与监测体系，提升集群治理与预警能力。对标国家级集群标准，稳步迈向更高层级发展阶段。</w:t>
      </w:r>
    </w:p>
    <w:p>
      <w:pPr>
        <w:spacing w:lineRule="exact" w:line="600" w:after="0"/>
        <w:ind w:firstLine="420"/>
      </w:pPr>
      <w:r>
        <w:rPr>
          <w:rFonts w:ascii="仿宋_GB2312" w:hAnsi="仿宋_GB2312" w:eastAsia="仿宋_GB2312"/>
          <w:b w:val="0"/>
          <w:sz w:val="32"/>
        </w:rPr>
        <w:t>从治理看，做实行业协会与产业联盟，以团体标准、质量溯源码与集体商标提升组织化水平；完善高效办成一件事与跨境贸易便利，降低制度性成本；建立集群统计监测与风险预警体系，动态跟踪产值、出口、价格与食安，为政策迭代提供数据支撑。做实协会与监测体系，提升集群治理与预警能力。对标国家级集群标准，稳步迈向更高层级发展阶段。系统集成与落地兑现，是政策优化的核心要求。</w:t>
      </w:r>
    </w:p>
    <w:p>
      <w:pPr>
        <w:spacing w:lineRule="exact" w:line="600" w:after="0"/>
        <w:ind w:firstLine="420"/>
      </w:pPr>
      <w:r>
        <w:rPr>
          <w:rFonts w:ascii="仿宋_GB2312" w:hAnsi="仿宋_GB2312" w:eastAsia="仿宋_GB2312"/>
          <w:b w:val="0"/>
          <w:sz w:val="32"/>
        </w:rPr>
        <w:t>长远看，应以省级特色产业集群为新起点，对标国家级集群标准，在创新、数字化、绿色化、开放合作与治理能力上整体提升，朝着国家级产业集群稳步迈进，把该集群打造为区域特色产业高质量发展的标杆，引领带动周边协同发展。对标国家级集群标准，稳步迈向更高层级发展阶段。系统集成与落地兑现，是政策优化的核心要求。做实协会与监测体系，提升集群治理与预警能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向千亿级智能家电产业集群加速迈进（胶州市政府）http://jzrm.jiaozhou.gov.cn/html/2025-06/20/content_73209_18631425.htm</w:t>
      </w:r>
    </w:p>
    <w:p>
      <w:pPr>
        <w:spacing w:lineRule="exact" w:line="600" w:after="0"/>
        <w:ind w:firstLine="0"/>
      </w:pPr>
      <w:r>
        <w:rPr>
          <w:rFonts w:ascii="仿宋_GB2312" w:hAnsi="仿宋_GB2312" w:eastAsia="仿宋_GB2312"/>
          <w:b w:val="0"/>
          <w:sz w:val="32"/>
        </w:rPr>
        <w:t>2. 一条链上长出两个省级特色产业集群（胶州市政府）https://jzrm.jiaozhou.gov.cn/html/2026-07/30/content_73208_19747577.htm</w:t>
      </w:r>
    </w:p>
    <w:p>
      <w:pPr>
        <w:spacing w:lineRule="exact" w:line="600" w:after="0"/>
        <w:ind w:firstLine="0"/>
      </w:pPr>
      <w:r>
        <w:rPr>
          <w:rFonts w:ascii="仿宋_GB2312" w:hAnsi="仿宋_GB2312" w:eastAsia="仿宋_GB2312"/>
          <w:b w:val="0"/>
          <w:sz w:val="32"/>
        </w:rPr>
        <w:t>3. 青岛再添3家省级特色产业集群（青岛市政府）http://qdsq.qingdao.gov.cn/xwdt_86/jjqd_86/202506/t20250623_9720953.shtml</w:t>
      </w:r>
    </w:p>
    <w:p>
      <w:pPr>
        <w:spacing w:lineRule="exact" w:line="600" w:after="0"/>
        <w:ind w:firstLine="0"/>
      </w:pPr>
      <w:r>
        <w:rPr>
          <w:rFonts w:ascii="仿宋_GB2312" w:hAnsi="仿宋_GB2312" w:eastAsia="仿宋_GB2312"/>
          <w:b w:val="0"/>
          <w:sz w:val="32"/>
        </w:rPr>
        <w:t>4. 胶州拥有3个国字号产业集群（网易）https://www.163.com/dy/article/KEIGOV4U05566UAG.html</w:t>
      </w:r>
    </w:p>
    <w:p>
      <w:pPr>
        <w:spacing w:lineRule="exact" w:line="600" w:after="0"/>
        <w:ind w:firstLine="0"/>
      </w:pPr>
      <w:r>
        <w:rPr>
          <w:rFonts w:ascii="仿宋_GB2312" w:hAnsi="仿宋_GB2312" w:eastAsia="仿宋_GB2312"/>
          <w:b w:val="0"/>
          <w:sz w:val="32"/>
        </w:rPr>
        <w:t>5. 胶州智能家电电路板获评省特色产业集群（青岛广电）https://lanjingshare.qtvnews.com/share-html/lanjing/share/newsDetailsLj.html?id=16456101</w:t>
      </w:r>
    </w:p>
    <w:p>
      <w:pPr>
        <w:spacing w:lineRule="exact" w:line="600" w:after="0"/>
        <w:ind w:firstLine="0"/>
      </w:pPr>
      <w:r>
        <w:rPr>
          <w:rFonts w:ascii="仿宋_GB2312" w:hAnsi="仿宋_GB2312" w:eastAsia="仿宋_GB2312"/>
          <w:b w:val="0"/>
          <w:sz w:val="32"/>
        </w:rPr>
        <w:t>6. 卡奥斯工业互联网生态园冰箱智能制造一期首台冰箱下线（胶州市政府）http://jzrm.jiaozhou.gov.cn/html/2023-12/11/content_73208_16845269.htm</w:t>
      </w:r>
    </w:p>
    <w:p>
      <w:pPr>
        <w:spacing w:lineRule="exact" w:line="600" w:after="0"/>
        <w:ind w:firstLine="0"/>
      </w:pPr>
      <w:r>
        <w:rPr>
          <w:rFonts w:ascii="仿宋_GB2312" w:hAnsi="仿宋_GB2312" w:eastAsia="仿宋_GB2312"/>
          <w:b w:val="0"/>
          <w:sz w:val="32"/>
        </w:rPr>
        <w:t>7. 年产电机1800万台！尼得科青岛产业园正式投产（腾讯新闻）https://new.qq.com/rain/a/20250709A08RN300</w:t>
      </w:r>
    </w:p>
    <w:p>
      <w:pPr>
        <w:spacing w:lineRule="exact" w:line="600" w:after="0"/>
        <w:ind w:firstLine="0"/>
      </w:pPr>
      <w:r>
        <w:rPr>
          <w:rFonts w:ascii="仿宋_GB2312" w:hAnsi="仿宋_GB2312" w:eastAsia="仿宋_GB2312"/>
          <w:b w:val="0"/>
          <w:sz w:val="32"/>
        </w:rPr>
        <w:t>8. 智能家电产业聚链成势（胶州市政府）http://jzrm.jiaozhou.gov.cn/html/2026-07/15/content_73209_19705610.htm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