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360" w:lineRule="exact" w:line="600"/>
        <w:jc w:val="center"/>
      </w:pPr>
      <w:r>
        <w:rPr>
          <w:rFonts w:ascii="方正小标宋简体" w:hAnsi="方正小标宋简体" w:eastAsia="方正小标宋简体"/>
          <w:b w:val="0"/>
          <w:sz w:val="44"/>
        </w:rPr>
        <w:t>邹平市轻量化铝特色产业集群发展研究报告</w:t>
      </w:r>
    </w:p>
    <w:p>
      <w:pPr>
        <w:spacing w:before="240" w:after="120" w:lineRule="exact" w:line="600"/>
      </w:pPr>
      <w:r>
        <w:rPr>
          <w:rFonts w:ascii="黑体" w:hAnsi="黑体" w:eastAsia="黑体"/>
          <w:b w:val="0"/>
          <w:sz w:val="32"/>
        </w:rPr>
        <w:t>一、集群基础概况</w:t>
      </w:r>
    </w:p>
    <w:p>
      <w:pPr>
        <w:spacing w:before="120" w:after="120" w:lineRule="exact" w:line="600"/>
      </w:pPr>
      <w:r>
        <w:rPr>
          <w:rFonts w:ascii="楷体_GB2312" w:hAnsi="楷体_GB2312" w:eastAsia="楷体_GB2312"/>
          <w:b w:val="0"/>
          <w:sz w:val="32"/>
        </w:rPr>
        <w:t>（一）集群基本属性</w:t>
      </w:r>
    </w:p>
    <w:p>
      <w:pPr>
        <w:spacing w:lineRule="exact" w:line="600" w:after="0"/>
        <w:ind w:firstLine="420"/>
      </w:pPr>
      <w:r>
        <w:rPr>
          <w:rFonts w:ascii="仿宋_GB2312" w:hAnsi="仿宋_GB2312" w:eastAsia="仿宋_GB2312"/>
          <w:b w:val="0"/>
          <w:sz w:val="32"/>
        </w:rPr>
        <w:t>邹平市轻量化铝特色产业集群是全球领先的轻量化铝产业集群，于二〇二三年入选山东省省级中小企业特色产业集群，二〇二四年进一步获评山东省战略性新兴产业集群，成为“双料”集群，并依托国家级新型工业化产业示范基地，在全省铝产业格局中占据核心地位。集群以“中国铝谷”为城市名片，产业组织成熟，区域带动能力强劲，是县域经济当之无愧的支柱板块与核心增长极，集群属性清晰稳定。</w:t>
      </w:r>
    </w:p>
    <w:p>
      <w:pPr>
        <w:spacing w:lineRule="exact" w:line="600" w:after="0"/>
        <w:ind w:firstLine="420"/>
      </w:pPr>
      <w:r>
        <w:rPr>
          <w:rFonts w:ascii="仿宋_GB2312" w:hAnsi="仿宋_GB2312" w:eastAsia="仿宋_GB2312"/>
          <w:b w:val="0"/>
          <w:sz w:val="32"/>
        </w:rPr>
        <w:t>从基本属性看，集群属于典型的有色金属精深加工型特色产业集群，兼具规模制造、绿色低碳与出口导向三重特征，发展路径清晰且辨识度极高。依托魏桥创业集团世界级原铝产能与“铝水不落地”直供模式，集群形成从原铝到零部件的全链条闭环，铝深加工能力超过六百万吨，是全国产业链最完备的铝产业聚集区之一，特色优势鲜明。从中可见，夯实产业基础并稳步固链强链，是稳当前、谋长远的必然选择。</w:t>
      </w:r>
    </w:p>
    <w:p>
      <w:pPr>
        <w:spacing w:lineRule="exact" w:line="600" w:after="0"/>
        <w:ind w:firstLine="420"/>
      </w:pPr>
      <w:r>
        <w:rPr>
          <w:rFonts w:ascii="仿宋_GB2312" w:hAnsi="仿宋_GB2312" w:eastAsia="仿宋_GB2312"/>
          <w:b w:val="0"/>
          <w:sz w:val="32"/>
        </w:rPr>
        <w:t>集群以轻量化铝为核心环节，向上衔接氧化铝与原铝冶炼，向下有效连通汽车轻量化、轨道交通、电子型材与再生铝循环，是邹平市当之无愧的第一大支柱产业。先后获评省级特色产业集群、省级战略性新兴产业集群，既是对集群特色的权威认可，也显著提升了其在全省乃至全国铝产业版图中的话语权，为争取政策与要素资源创造了有利条件。</w:t>
      </w:r>
    </w:p>
    <w:p>
      <w:pPr>
        <w:spacing w:before="120" w:after="120" w:lineRule="exact" w:line="600"/>
      </w:pPr>
      <w:r>
        <w:rPr>
          <w:rFonts w:ascii="楷体_GB2312" w:hAnsi="楷体_GB2312" w:eastAsia="楷体_GB2312"/>
          <w:b w:val="0"/>
          <w:sz w:val="32"/>
        </w:rPr>
        <w:t>（二）规模体量</w:t>
      </w:r>
    </w:p>
    <w:p>
      <w:pPr>
        <w:spacing w:lineRule="exact" w:line="600" w:after="0"/>
        <w:ind w:firstLine="420"/>
      </w:pPr>
      <w:r>
        <w:rPr>
          <w:rFonts w:ascii="仿宋_GB2312" w:hAnsi="仿宋_GB2312" w:eastAsia="仿宋_GB2312"/>
          <w:b w:val="0"/>
          <w:sz w:val="32"/>
        </w:rPr>
        <w:t>据公开数据，截至二〇二三年底，邹平市轻量化铝产业集群企业突破一百一十家，其中规上企业达七十九家，营收超过十亿元的骨干企业达到十三家，形成了龙头企业保障上游高质铝水、骨干企业引领科研、规上企业提升深加工、小企业灵活补充的闭环产业生态。二〇二四年高端铝产业集群营收达到二千七百亿元，规模体量稳居全国前列。总体看，这一态势有利于集群提质增效，但短板亦不容忽视，须统筹施策。</w:t>
      </w:r>
    </w:p>
    <w:p>
      <w:pPr>
        <w:spacing w:lineRule="exact" w:line="600" w:after="0"/>
        <w:ind w:firstLine="420"/>
      </w:pPr>
      <w:r>
        <w:rPr>
          <w:rFonts w:ascii="仿宋_GB2312" w:hAnsi="仿宋_GB2312" w:eastAsia="仿宋_GB2312"/>
          <w:b w:val="0"/>
          <w:sz w:val="32"/>
        </w:rPr>
        <w:t>从发展态势看，集群规模持续扩张。魏桥铝深加工产业园汇聚企业超百家，卓奥锂业等十二个项目相继落地；全市涉铝企业达一百二十家，形成从铝锭到汽车零部件的全产业链闭环。铝深加工能力超过六百万吨，高附加值产品占比稳步提升，抗风险能力强，为集群进一步做大做强提供了雄厚的物质支撑与产能保障。展望未来，在政策与市场共同作用下，相关领域有望迎来更高质量的发展。</w:t>
      </w:r>
    </w:p>
    <w:p>
      <w:pPr>
        <w:spacing w:lineRule="exact" w:line="600" w:after="0"/>
        <w:ind w:firstLine="420"/>
      </w:pPr>
      <w:r>
        <w:rPr>
          <w:rFonts w:ascii="仿宋_GB2312" w:hAnsi="仿宋_GB2312" w:eastAsia="仿宋_GB2312"/>
          <w:b w:val="0"/>
          <w:sz w:val="32"/>
        </w:rPr>
        <w:t>集群的体量优势还体现在龙头企业能级上。魏桥创业集团作为世界五百强企业，年保障电解铝产能一百六十万吨，高端铝水直供比例高达百分之八十五，为产业链奠定坚实基础。依托近二百家规上涉铝企业、超二千六百亿元高端铝产业集群营收，邹平正全力打造独一无二的合作产业IP，规模能级与区域影响力持续抬升。应当看到，机遇与挑战并存，唯有主动作为方能巩固并扩大既有领先优势。</w:t>
      </w:r>
    </w:p>
    <w:p>
      <w:pPr>
        <w:spacing w:before="120" w:after="120" w:lineRule="exact" w:line="600"/>
      </w:pPr>
      <w:r>
        <w:rPr>
          <w:rFonts w:ascii="楷体_GB2312" w:hAnsi="楷体_GB2312" w:eastAsia="楷体_GB2312"/>
          <w:b w:val="0"/>
          <w:sz w:val="32"/>
        </w:rPr>
        <w:t>（三）主导产业</w:t>
      </w:r>
    </w:p>
    <w:p>
      <w:pPr>
        <w:spacing w:lineRule="exact" w:line="600" w:after="0"/>
        <w:ind w:firstLine="420"/>
      </w:pPr>
      <w:r>
        <w:rPr>
          <w:rFonts w:ascii="仿宋_GB2312" w:hAnsi="仿宋_GB2312" w:eastAsia="仿宋_GB2312"/>
          <w:b w:val="0"/>
          <w:sz w:val="32"/>
        </w:rPr>
        <w:t>集群主导产业的第一板块是高端铝合金材料，以创新金属高端铝合金棒材、板材、线材、型材、汽车轮毂五大产品为代表，其中高端铝合金棒材市场占有率多年位居全国第一，是产值贡献最大、技术含量最高的核心领域，也是集群特色优势的主要承载部分，在产业链中分量极重。实践说明，依托龙头带动与协同配套，可有效提升整体运行效率与抗风险韧性。</w:t>
      </w:r>
    </w:p>
    <w:p>
      <w:pPr>
        <w:spacing w:lineRule="exact" w:line="600" w:after="0"/>
        <w:ind w:firstLine="420"/>
      </w:pPr>
      <w:r>
        <w:rPr>
          <w:rFonts w:ascii="仿宋_GB2312" w:hAnsi="仿宋_GB2312" w:eastAsia="仿宋_GB2312"/>
          <w:b w:val="0"/>
          <w:sz w:val="32"/>
        </w:rPr>
        <w:t>集群主导产业的第二板块是汽车轻量化与交通铝材，以魏桥轻量化基地、全铝车身、汽车轻量化型材、轨道交通用超高强高精度超导铝材为代表，产品持续涌现并向新能源整车渗透。该板块是集群响应轻量化、高端化定位向价值链高端转型的重要增长极，未来发展空间广阔，应作为升级主攻方向予以重点培育。需要强调的是，相关工作的系统性与协同性，直接关系集群升级的成败。</w:t>
      </w:r>
    </w:p>
    <w:p>
      <w:pPr>
        <w:spacing w:lineRule="exact" w:line="600" w:after="0"/>
        <w:ind w:firstLine="420"/>
      </w:pPr>
      <w:r>
        <w:rPr>
          <w:rFonts w:ascii="仿宋_GB2312" w:hAnsi="仿宋_GB2312" w:eastAsia="仿宋_GB2312"/>
          <w:b w:val="0"/>
          <w:sz w:val="32"/>
        </w:rPr>
        <w:t>集群主导产业的第三板块是再生铝与循环经济，以年产五十万吨高品质再生铝合金材料项目为代表，铝合金总回收率达到百分之九十六点一五，是全国碳排放最低的再生铝项目之一。该板块代表集群向绿色低碳转型的战略方向，生产一吨再生铝可节约五吨铝土矿、减碳十一吨，是培育新质生产力、变废为宝的生动实践。综合研判，集群已具备一定基础，下一步须在补链延链上取得实质性突破。</w:t>
      </w:r>
    </w:p>
    <w:p>
      <w:pPr>
        <w:spacing w:before="240" w:after="120" w:lineRule="exact" w:line="600"/>
      </w:pPr>
      <w:r>
        <w:rPr>
          <w:rFonts w:ascii="黑体" w:hAnsi="黑体" w:eastAsia="黑体"/>
          <w:b w:val="0"/>
          <w:sz w:val="32"/>
        </w:rPr>
        <w:t>二、产业链结构分析</w:t>
      </w:r>
    </w:p>
    <w:p>
      <w:pPr>
        <w:spacing w:before="120" w:after="120" w:lineRule="exact" w:line="600"/>
      </w:pPr>
      <w:r>
        <w:rPr>
          <w:rFonts w:ascii="楷体_GB2312" w:hAnsi="楷体_GB2312" w:eastAsia="楷体_GB2312"/>
          <w:b w:val="0"/>
          <w:sz w:val="32"/>
        </w:rPr>
        <w:t>（一）产业链完整度</w:t>
      </w:r>
    </w:p>
    <w:p>
      <w:pPr>
        <w:spacing w:lineRule="exact" w:line="600" w:after="0"/>
        <w:ind w:firstLine="420"/>
      </w:pPr>
      <w:r>
        <w:rPr>
          <w:rFonts w:ascii="仿宋_GB2312" w:hAnsi="仿宋_GB2312" w:eastAsia="仿宋_GB2312"/>
          <w:b w:val="0"/>
          <w:sz w:val="32"/>
        </w:rPr>
        <w:t>从产业链整体看，集群已经形成“铝土矿—原铝—铝型材—铝精深加工—再生铝”这一完整闭合的铝产业链条，上游涵盖氧化铝与原铝冶炼，中游为挤压、轧制、锻压等精深加工，下游对接汽车、轨道交通、电子与再生循环，链条衔接顺畅、配套协作能力在全国铝产业集群中处于领先水平，产业整体韧性较强。可以预见，随着要素保障逐步完善，集群发展动能将得到进一步释放与增强。</w:t>
      </w:r>
    </w:p>
    <w:p>
      <w:pPr>
        <w:spacing w:lineRule="exact" w:line="600" w:after="0"/>
        <w:ind w:firstLine="420"/>
      </w:pPr>
      <w:r>
        <w:rPr>
          <w:rFonts w:ascii="仿宋_GB2312" w:hAnsi="仿宋_GB2312" w:eastAsia="仿宋_GB2312"/>
          <w:b w:val="0"/>
          <w:sz w:val="32"/>
        </w:rPr>
        <w:t>龙头企业的带动效应极为明显。魏桥创业集团流出的铝水“不落地”，直接流进当地科技型企业，省去铝锭铸造与二次重熔耗能工序，形成成本洼地优势。依托魏桥、创新两大头部链主企业的强力牵引，集群搭建起“铝水—高端合金—精密部件—整车与终端应用”的垂直闭环，链式协同格局日益巩固。这对优化产业组织形态、增强发展韧性具有积极的现实支撑意义与长远价值。</w:t>
      </w:r>
    </w:p>
    <w:p>
      <w:pPr>
        <w:spacing w:lineRule="exact" w:line="600" w:after="0"/>
        <w:ind w:firstLine="420"/>
      </w:pPr>
      <w:r>
        <w:rPr>
          <w:rFonts w:ascii="仿宋_GB2312" w:hAnsi="仿宋_GB2312" w:eastAsia="仿宋_GB2312"/>
          <w:b w:val="0"/>
          <w:sz w:val="32"/>
        </w:rPr>
        <w:t>需要关注的是，尽管主体链条完整，但高端研发与终端品牌环节仍处于培育期，部分中小企业仍以提供初级加工与代工为主，价值外溢较为严重。产业链纵向延伸不足、价值捕获能力不强，仍是集群下一步提质升级需要重点破解的深层问题，必须下大力气向“微笑曲线”两端延展，提升整体附加值水平。从长远计，构建开放协同的创新生态，是破解瓶颈制约的关键着力点所在。</w:t>
      </w:r>
    </w:p>
    <w:p>
      <w:pPr>
        <w:spacing w:before="120" w:after="120" w:lineRule="exact" w:line="600"/>
      </w:pPr>
      <w:r>
        <w:rPr>
          <w:rFonts w:ascii="楷体_GB2312" w:hAnsi="楷体_GB2312" w:eastAsia="楷体_GB2312"/>
          <w:b w:val="0"/>
          <w:sz w:val="32"/>
        </w:rPr>
        <w:t>（二）产业链短板</w:t>
      </w:r>
    </w:p>
    <w:p>
      <w:pPr>
        <w:spacing w:lineRule="exact" w:line="600" w:after="0"/>
        <w:ind w:firstLine="420"/>
      </w:pPr>
      <w:r>
        <w:rPr>
          <w:rFonts w:ascii="仿宋_GB2312" w:hAnsi="仿宋_GB2312" w:eastAsia="仿宋_GB2312"/>
          <w:b w:val="0"/>
          <w:sz w:val="32"/>
        </w:rPr>
        <w:t>总体来看，集群产业链的短板主要集中在研发设计与终端品牌两端，制约了整体效益提升。部分中小企业产品仍以常规型材、初加工为主，面向高强高韧、功能性铝合金的新品供给明显不足，难以有效支撑价值链向高端环节系统性攀升，产品同质化与行业内卷压力持续加大，亟需通过创新破解低端锁定困境。说明相关举措已初见成效，但要把成果做深做实，仍须常抓不懈、久久为功。</w:t>
      </w:r>
    </w:p>
    <w:p>
      <w:pPr>
        <w:spacing w:lineRule="exact" w:line="600" w:after="0"/>
        <w:ind w:firstLine="420"/>
      </w:pPr>
      <w:r>
        <w:rPr>
          <w:rFonts w:ascii="仿宋_GB2312" w:hAnsi="仿宋_GB2312" w:eastAsia="仿宋_GB2312"/>
          <w:b w:val="0"/>
          <w:sz w:val="32"/>
        </w:rPr>
        <w:t>再生铝与原料保障是另一个突出短板。尽管邹平发力再生铝，但废铝的运输、仓储、融资等环节综合运营成本仍偏高，原料保障受原生铝产能与铝水供应影响明显，供应链稳定性存在隐忧。补齐再生铝产业短板、降低综合运营成本，才是集群下一步提质增效、稳定经营主体收益的关键着力点，需要尽快付诸行动。由此进一步印证，特色化、差异化的发展路径符合集群实际与自身比较优势。</w:t>
      </w:r>
    </w:p>
    <w:p>
      <w:pPr>
        <w:spacing w:lineRule="exact" w:line="600" w:after="0"/>
        <w:ind w:firstLine="420"/>
      </w:pPr>
      <w:r>
        <w:rPr>
          <w:rFonts w:ascii="仿宋_GB2312" w:hAnsi="仿宋_GB2312" w:eastAsia="仿宋_GB2312"/>
          <w:b w:val="0"/>
          <w:sz w:val="32"/>
        </w:rPr>
        <w:t>从价值分配看，部分环节低效能扩产现象存在，行业内卷困局亟待破解。严格执行涉铝项目准入审查机制，从严审批低端同质化、低效能扩产项目，推动土地、能耗、资金向高附加值、高技术赛道集中，是缓解内卷、优化产业链结构的根本路径，需要从源头强化统筹与调控，避免低效重复建设。这对稳定经营主体预期、激发市场活力将发挥重要的牵引与保障作用。</w:t>
      </w:r>
    </w:p>
    <w:p>
      <w:pPr>
        <w:spacing w:before="120" w:after="120" w:lineRule="exact" w:line="600"/>
      </w:pPr>
      <w:r>
        <w:rPr>
          <w:rFonts w:ascii="楷体_GB2312" w:hAnsi="楷体_GB2312" w:eastAsia="楷体_GB2312"/>
          <w:b w:val="0"/>
          <w:sz w:val="32"/>
        </w:rPr>
        <w:t>（三）价值链位置</w:t>
      </w:r>
    </w:p>
    <w:p>
      <w:pPr>
        <w:spacing w:lineRule="exact" w:line="600" w:after="0"/>
        <w:ind w:firstLine="420"/>
      </w:pPr>
      <w:r>
        <w:rPr>
          <w:rFonts w:ascii="仿宋_GB2312" w:hAnsi="仿宋_GB2312" w:eastAsia="仿宋_GB2312"/>
          <w:b w:val="0"/>
          <w:sz w:val="32"/>
        </w:rPr>
        <w:t>从价值链位置看，集群当前以中游的铝挤压、轧制、锻压等规模化加工环节为主，价值捕获集中于制造环节，而上游研发与下游整车品牌两端的附加值大量外溢，整体仍处于价值链中段的规模竞争区间，产品溢价能力与行业话语权有待进一步增强，亟需向“微笑曲线”两端延伸布局，摆脱低端规模竞争的路径依赖。需以底线思维统筹发展与安全，在变化中牢牢把握集群发展的战略主动。</w:t>
      </w:r>
    </w:p>
    <w:p>
      <w:pPr>
        <w:spacing w:lineRule="exact" w:line="600" w:after="0"/>
        <w:ind w:firstLine="420"/>
      </w:pPr>
      <w:r>
        <w:rPr>
          <w:rFonts w:ascii="仿宋_GB2312" w:hAnsi="仿宋_GB2312" w:eastAsia="仿宋_GB2312"/>
          <w:b w:val="0"/>
          <w:sz w:val="32"/>
        </w:rPr>
        <w:t>凭借高端铝水直供比例高达百分之八十五、高附加值铝箔与全铝车身产品持续涌现，集群向价值链高端攀升取得实质进展。创新金属高端铝合金棒材市场占有率多年全国第一，深度融入全球顶级消费电子品牌供应链；开泰抛丸超宽钢板预处理、智能喷砂机器人技术国际领先并畅销全球六十多个国家，标杆路径清晰。这也对营商环境与公共服务提出了更高要求，须持续用力、不断优化提升。</w:t>
      </w:r>
    </w:p>
    <w:p>
      <w:pPr>
        <w:spacing w:lineRule="exact" w:line="600" w:after="0"/>
        <w:ind w:firstLine="420"/>
      </w:pPr>
      <w:r>
        <w:rPr>
          <w:rFonts w:ascii="仿宋_GB2312" w:hAnsi="仿宋_GB2312" w:eastAsia="仿宋_GB2312"/>
          <w:b w:val="0"/>
          <w:sz w:val="32"/>
        </w:rPr>
        <w:t>以魏桥轻量化基地为代表，全铝车身、汽车轻量化型材从魏桥创业集团流出，应用于新能源整车，初步实现了从原铝到终端部件的跃升。此类业态融合有助于集群整体向高附加值环节迁移，改善价值分配结构，提升产业发展的质量效益与可持续性，是价值链升级的有益探索，值得在集群内推广应用。总体判断，只要方向明确、举措得当，集群完全有能力迈上更高的发展能级。</w:t>
      </w:r>
    </w:p>
    <w:p>
      <w:pPr>
        <w:spacing w:before="120" w:after="120" w:lineRule="exact" w:line="600"/>
      </w:pPr>
      <w:r>
        <w:rPr>
          <w:rFonts w:ascii="楷体_GB2312" w:hAnsi="楷体_GB2312" w:eastAsia="楷体_GB2312"/>
          <w:b w:val="0"/>
          <w:sz w:val="32"/>
        </w:rPr>
        <w:t>（四）产业分工</w:t>
      </w:r>
    </w:p>
    <w:p>
      <w:pPr>
        <w:spacing w:lineRule="exact" w:line="600" w:after="0"/>
        <w:ind w:firstLine="420"/>
      </w:pPr>
      <w:r>
        <w:rPr>
          <w:rFonts w:ascii="仿宋_GB2312" w:hAnsi="仿宋_GB2312" w:eastAsia="仿宋_GB2312"/>
          <w:b w:val="0"/>
          <w:sz w:val="32"/>
        </w:rPr>
        <w:t>集群内部分工呈现出龙头引领、专业配套的清晰格局，组织化程度较高。魏桥创业、创新集团等龙头企业聚焦原铝保障、品牌研发与高端产品，中小企业则围绕挤压、轧制、表面处理、零部件等环节提供专业化配套，形成错位竞争、协同共进的良性产业组织形态，有效避免了内部恶性竞争，提升了整体运行效率。此类探索为同类地区提供了可借鉴经验，其示范价值值得充分肯定与推广。</w:t>
      </w:r>
    </w:p>
    <w:p>
      <w:pPr>
        <w:spacing w:lineRule="exact" w:line="600" w:after="0"/>
        <w:ind w:firstLine="420"/>
      </w:pPr>
      <w:r>
        <w:rPr>
          <w:rFonts w:ascii="仿宋_GB2312" w:hAnsi="仿宋_GB2312" w:eastAsia="仿宋_GB2312"/>
          <w:b w:val="0"/>
          <w:sz w:val="32"/>
        </w:rPr>
        <w:t>在区域分工上，魏桥铝深加工产业园、长山镇承载精深加工与轻量化项目，邹平经济技术开发区（国家级）承载总部与高端制造，专业园区与经开区协同互补，共同支撑起合理的空间布局体系，促进了要素高效配置，形成了特色鲜明、优势互补的区域产业分工格局，空间集聚与专业分工相互促进。把规划蓝图变为现实成果，关键在于狠抓落实、强化督导并形成管理闭环。</w:t>
      </w:r>
    </w:p>
    <w:p>
      <w:pPr>
        <w:spacing w:lineRule="exact" w:line="600" w:after="0"/>
        <w:ind w:firstLine="420"/>
      </w:pPr>
      <w:r>
        <w:rPr>
          <w:rFonts w:ascii="仿宋_GB2312" w:hAnsi="仿宋_GB2312" w:eastAsia="仿宋_GB2312"/>
          <w:b w:val="0"/>
          <w:sz w:val="32"/>
        </w:rPr>
        <w:t>从企业规模结构看，集群以大量中小微企业为主体、龙头企业为牵引的分工生态较为稳定。魏桥、创新两大链主如同超级磁极，已带动德国、加拿大、日本等国家行业领军企业及众多国内龙头配套商落户，形成大中小企业融通发展的产业组织形态，也增强了整体抗风险能力与供应链弹性韧性，发展基础牢固。相关经验若能在集群内有序复制推广，将显著放大整体发展的协同效应。</w:t>
      </w:r>
    </w:p>
    <w:p>
      <w:pPr>
        <w:spacing w:before="240" w:after="120" w:lineRule="exact" w:line="600"/>
      </w:pPr>
      <w:r>
        <w:rPr>
          <w:rFonts w:ascii="黑体" w:hAnsi="黑体" w:eastAsia="黑体"/>
          <w:b w:val="0"/>
          <w:sz w:val="32"/>
        </w:rPr>
        <w:t>三、企业主体结构</w:t>
      </w:r>
    </w:p>
    <w:p>
      <w:pPr>
        <w:spacing w:before="120" w:after="120" w:lineRule="exact" w:line="600"/>
      </w:pPr>
      <w:r>
        <w:rPr>
          <w:rFonts w:ascii="楷体_GB2312" w:hAnsi="楷体_GB2312" w:eastAsia="楷体_GB2312"/>
          <w:b w:val="0"/>
          <w:sz w:val="32"/>
        </w:rPr>
        <w:t>（一）企业规模结构</w:t>
      </w:r>
    </w:p>
    <w:p>
      <w:pPr>
        <w:spacing w:lineRule="exact" w:line="600" w:after="0"/>
        <w:ind w:firstLine="420"/>
      </w:pPr>
      <w:r>
        <w:rPr>
          <w:rFonts w:ascii="仿宋_GB2312" w:hAnsi="仿宋_GB2312" w:eastAsia="仿宋_GB2312"/>
          <w:b w:val="0"/>
          <w:sz w:val="32"/>
        </w:rPr>
        <w:t>据公开数据，邹平市涉铝企业达一百二十家，其中规上企业七十九家，营收超过十亿元的骨干企业十三家，构成集群的骨干力量；中小企业是吸纳就业与稳定产业链的主要载体，在集群体量中地位举足轻重。稳住了中小企业，就稳住了集群大局，中小企业活则集群活，其支撑作用不容忽视。这表明市场与政府同向发力，是提升产业能级与竞争力的有效实现路径。</w:t>
      </w:r>
    </w:p>
    <w:p>
      <w:pPr>
        <w:spacing w:lineRule="exact" w:line="600" w:after="0"/>
        <w:ind w:firstLine="420"/>
      </w:pPr>
      <w:r>
        <w:rPr>
          <w:rFonts w:ascii="仿宋_GB2312" w:hAnsi="仿宋_GB2312" w:eastAsia="仿宋_GB2312"/>
          <w:b w:val="0"/>
          <w:sz w:val="32"/>
        </w:rPr>
        <w:t>从规模梯度看，集群呈现少量龙头、大量中小微的金字塔型结构。魏桥创业、创新集团等少数企业产值规模与技术水平突出，万通金属、沐易阳光、新三元铝材等“隐形冠军”在细分领域领跑，大量中小企业围绕配套环节提供专业化服务，转型成效显著，说明链式孵化对小微企业升级具有关键催化作用与示范价值。对中小企业而言，融入这一进程既是挑战，更是实现能级跃升的重要契机。</w:t>
      </w:r>
    </w:p>
    <w:p>
      <w:pPr>
        <w:spacing w:lineRule="exact" w:line="600" w:after="0"/>
        <w:ind w:firstLine="420"/>
      </w:pPr>
      <w:r>
        <w:rPr>
          <w:rFonts w:ascii="仿宋_GB2312" w:hAnsi="仿宋_GB2312" w:eastAsia="仿宋_GB2312"/>
          <w:b w:val="0"/>
          <w:sz w:val="32"/>
        </w:rPr>
        <w:t>值得关注的是，集群内小微企业数量众多但单体规模偏小，抗风险能力与技改能力较弱，发展质量有待提升。持续推进“小升规”与专精特新培育，引导企业退出低端价格战、向“专精特新”细分赛道转型，是稳定集群韧性、提升整体竞争力的关键抓手，政策需持续加力，久久为功方能见效。由此形成的良性循环，将为集群行稳致远提供坚实而持久的内在支撑。</w:t>
      </w:r>
    </w:p>
    <w:p>
      <w:pPr>
        <w:spacing w:before="120" w:after="120" w:lineRule="exact" w:line="600"/>
      </w:pPr>
      <w:r>
        <w:rPr>
          <w:rFonts w:ascii="楷体_GB2312" w:hAnsi="楷体_GB2312" w:eastAsia="楷体_GB2312"/>
          <w:b w:val="0"/>
          <w:sz w:val="32"/>
        </w:rPr>
        <w:t>（二）产权结构</w:t>
      </w:r>
    </w:p>
    <w:p>
      <w:pPr>
        <w:spacing w:lineRule="exact" w:line="600" w:after="0"/>
        <w:ind w:firstLine="420"/>
      </w:pPr>
      <w:r>
        <w:rPr>
          <w:rFonts w:ascii="仿宋_GB2312" w:hAnsi="仿宋_GB2312" w:eastAsia="仿宋_GB2312"/>
          <w:b w:val="0"/>
          <w:sz w:val="32"/>
        </w:rPr>
        <w:t>从产权结构看，集群以民营资本为主，魏桥创业集团（世界五百强）、创新集团（中国民营企业五百强）均为民营企业，市场化程度高、经营机制灵活，是集群活力与创新能力的主要来源，也是出口拓展与品牌建设的绝对主力军，民营经济的生力军作用发挥得较为充分，是集群创新的重要策源地。上述情况表明，相关环节仍有较大提升潜力与拓展空间，需持续发力加以巩固。</w:t>
      </w:r>
    </w:p>
    <w:p>
      <w:pPr>
        <w:spacing w:lineRule="exact" w:line="600" w:after="0"/>
        <w:ind w:firstLine="420"/>
      </w:pPr>
      <w:r>
        <w:rPr>
          <w:rFonts w:ascii="仿宋_GB2312" w:hAnsi="仿宋_GB2312" w:eastAsia="仿宋_GB2312"/>
          <w:b w:val="0"/>
          <w:sz w:val="32"/>
        </w:rPr>
        <w:t>部分龙头企业经历了混合所有制或并购重组，产权结构更趋多元，有利于引入外部资本与管理资源，支撑企业规模化与国际化拓展，并提升公司治理的现代化与规范化水平。国有平台在园区基础设施、公共研发载体等领域发挥引导作用，释放了改革红利，激发了内生动力，为其他企业完善治理结构提供了可借鉴的范例。从中可见，夯实产业基础并稳步固链强链，是稳当前、谋长远的必然选择。</w:t>
      </w:r>
    </w:p>
    <w:p>
      <w:pPr>
        <w:spacing w:lineRule="exact" w:line="600" w:after="0"/>
        <w:ind w:firstLine="420"/>
      </w:pPr>
      <w:r>
        <w:rPr>
          <w:rFonts w:ascii="仿宋_GB2312" w:hAnsi="仿宋_GB2312" w:eastAsia="仿宋_GB2312"/>
          <w:b w:val="0"/>
          <w:sz w:val="32"/>
        </w:rPr>
        <w:t>国有资本在园区基础设施、绿色金融平台、公共服务等领域发挥引导作用，形成民营主体、政府平台互补型的产权格局，有效降低了中小企业进入门槛与初期投资风险，优化了整体营商环境与要素供给效率，体现了有为政府与有效市场的结合，公私协作的产权安排增强了集群发展韧性，为民营经济健康发展保驾护航。由此判断，把既有优势转化为持久竞争力，仍需久久为功、持续加力。</w:t>
      </w:r>
    </w:p>
    <w:p>
      <w:pPr>
        <w:spacing w:before="120" w:after="120" w:lineRule="exact" w:line="600"/>
      </w:pPr>
      <w:r>
        <w:rPr>
          <w:rFonts w:ascii="楷体_GB2312" w:hAnsi="楷体_GB2312" w:eastAsia="楷体_GB2312"/>
          <w:b w:val="0"/>
          <w:sz w:val="32"/>
        </w:rPr>
        <w:t>（三）头部企业</w:t>
      </w:r>
    </w:p>
    <w:p>
      <w:pPr>
        <w:spacing w:lineRule="exact" w:line="600" w:after="0"/>
        <w:ind w:firstLine="420"/>
      </w:pPr>
      <w:r>
        <w:rPr>
          <w:rFonts w:ascii="仿宋_GB2312" w:hAnsi="仿宋_GB2312" w:eastAsia="仿宋_GB2312"/>
          <w:b w:val="0"/>
          <w:sz w:val="32"/>
        </w:rPr>
        <w:t>魏桥创业集团是集群的绝对龙头，为世界五百强企业，年保障电解铝产能一百六十万吨，高端铝水直供比例高达百分之八十五。其六百千安铝电解槽生产线技术先进、节能环保，斩获中国有色金属工业科学技术奖一等奖，子公司山东宏桥三次被工信部评为电解铝行业唯一能效“领跑者”，龙头地位稳固。总体看，这一态势有利于集群提质增效，但短板亦不容忽视，须统筹施策。</w:t>
      </w:r>
    </w:p>
    <w:p>
      <w:pPr>
        <w:spacing w:lineRule="exact" w:line="600" w:after="0"/>
        <w:ind w:firstLine="420"/>
      </w:pPr>
      <w:r>
        <w:rPr>
          <w:rFonts w:ascii="仿宋_GB2312" w:hAnsi="仿宋_GB2312" w:eastAsia="仿宋_GB2312"/>
          <w:b w:val="0"/>
          <w:sz w:val="32"/>
        </w:rPr>
        <w:t>创新金属是集群另一链主，其高端铝合金棒材、板材、线材、型材、汽车轮毂五大产品各具特色，高端铝合金棒材市场占有率多年位居全国第一，并以全球市场占有率第一的铝镁硅合金棒材深度融入全球顶级消费电子品牌供应链体系，是集群国际化与品质建设的标杆企业，引领效应突出。展望未来，在政策与市场共同作用下，相关领域有望迎来更高质量的发展。</w:t>
      </w:r>
    </w:p>
    <w:p>
      <w:pPr>
        <w:spacing w:lineRule="exact" w:line="600" w:after="0"/>
        <w:ind w:firstLine="420"/>
      </w:pPr>
      <w:r>
        <w:rPr>
          <w:rFonts w:ascii="仿宋_GB2312" w:hAnsi="仿宋_GB2312" w:eastAsia="仿宋_GB2312"/>
          <w:b w:val="0"/>
          <w:sz w:val="32"/>
        </w:rPr>
        <w:t>开泰抛丸超宽钢板预处理、智能喷砂机器人等技术国际领先并畅销全球六十多个国家；万通金属铝卷产能全国第一；沐易阳光是阳光房行业标准制定单位；新三元铝材易开盖拉环材国内市场占有率居首；裕航特种合金导电轨产品国内占有率近七成。多家头部企业共同构成多层次、多赛道的企业梯队，头部矩阵日益壮大。应当看到，机遇与挑战并存，唯有主动作为方能巩固并扩大既有领先优势。</w:t>
      </w:r>
    </w:p>
    <w:p>
      <w:pPr>
        <w:spacing w:before="120" w:after="120" w:lineRule="exact" w:line="600"/>
      </w:pPr>
      <w:r>
        <w:rPr>
          <w:rFonts w:ascii="楷体_GB2312" w:hAnsi="楷体_GB2312" w:eastAsia="楷体_GB2312"/>
          <w:b w:val="0"/>
          <w:sz w:val="32"/>
        </w:rPr>
        <w:t>（四）企业集聚特征</w:t>
      </w:r>
    </w:p>
    <w:p>
      <w:pPr>
        <w:spacing w:lineRule="exact" w:line="600" w:after="0"/>
        <w:ind w:firstLine="420"/>
      </w:pPr>
      <w:r>
        <w:rPr>
          <w:rFonts w:ascii="仿宋_GB2312" w:hAnsi="仿宋_GB2312" w:eastAsia="仿宋_GB2312"/>
          <w:b w:val="0"/>
          <w:sz w:val="32"/>
        </w:rPr>
        <w:t>集群企业沿产业链在县域内高度集聚，魏桥铝深加工产业园汇聚企业超百家，长山镇形成轻量化材料产业密集带，企业空间集聚度较高，便于供应链就近配套、物流协同与要素共享，显著降低了制度与交易成本，提升了整体运行效率，集聚经济效应逐步显现，成为集群竞争力的重要来源，空间集聚红利持续释放。实践说明，依托龙头带动与协同配套，可有效提升整体运行效率与抗风险韧性。</w:t>
      </w:r>
    </w:p>
    <w:p>
      <w:pPr>
        <w:spacing w:lineRule="exact" w:line="600" w:after="0"/>
        <w:ind w:firstLine="420"/>
      </w:pPr>
      <w:r>
        <w:rPr>
          <w:rFonts w:ascii="仿宋_GB2312" w:hAnsi="仿宋_GB2312" w:eastAsia="仿宋_GB2312"/>
          <w:b w:val="0"/>
          <w:sz w:val="32"/>
        </w:rPr>
        <w:t>集聚呈现专业园区、经开区双重特征：魏桥铝深加工产业园承载精深加工与轻量化项目，邹平经济技术开发区（国家级）承载总部经济与高端制造，二者通过供应链紧密联动，形成“前店后厂”式的协作网络，显著提升了资源配置效率与产业组织化程度，协同效应明显，区域品牌逐步形成，专业化分工与空间集聚相互促进。需要强调的是，相关工作的系统性与协同性，直接关系集群升级的成败。</w:t>
      </w:r>
    </w:p>
    <w:p>
      <w:pPr>
        <w:spacing w:lineRule="exact" w:line="600" w:after="0"/>
        <w:ind w:firstLine="420"/>
      </w:pPr>
      <w:r>
        <w:rPr>
          <w:rFonts w:ascii="仿宋_GB2312" w:hAnsi="仿宋_GB2312" w:eastAsia="仿宋_GB2312"/>
          <w:b w:val="0"/>
          <w:sz w:val="32"/>
        </w:rPr>
        <w:t>需要重点关注集聚带来的能耗与环保压力，生态环境约束趋紧。魏桥创业通过铝水直供、余热发电、分布式光伏等模式节能降碳，为同行提供了可借鉴的绿色制造范式，值得在集群内全面推广，以绿色集聚夯实可持续发展根基，实现集聚与生态双赢，让绿色成为集群最鲜明的底色。综合研判，集群已具备一定基础，下一步须在补链延链上取得实质性突破。</w:t>
      </w:r>
    </w:p>
    <w:p>
      <w:pPr>
        <w:spacing w:before="240" w:after="120" w:lineRule="exact" w:line="600"/>
      </w:pPr>
      <w:r>
        <w:rPr>
          <w:rFonts w:ascii="黑体" w:hAnsi="黑体" w:eastAsia="黑体"/>
          <w:b w:val="0"/>
          <w:sz w:val="32"/>
        </w:rPr>
        <w:t>四、创新能力</w:t>
      </w:r>
    </w:p>
    <w:p>
      <w:pPr>
        <w:spacing w:before="120" w:after="120" w:lineRule="exact" w:line="600"/>
      </w:pPr>
      <w:r>
        <w:rPr>
          <w:rFonts w:ascii="楷体_GB2312" w:hAnsi="楷体_GB2312" w:eastAsia="楷体_GB2312"/>
          <w:b w:val="0"/>
          <w:sz w:val="32"/>
        </w:rPr>
        <w:t>（一）研发投入</w:t>
      </w:r>
    </w:p>
    <w:p>
      <w:pPr>
        <w:spacing w:lineRule="exact" w:line="600" w:after="0"/>
        <w:ind w:firstLine="420"/>
      </w:pPr>
      <w:r>
        <w:rPr>
          <w:rFonts w:ascii="仿宋_GB2312" w:hAnsi="仿宋_GB2312" w:eastAsia="仿宋_GB2312"/>
          <w:b w:val="0"/>
          <w:sz w:val="32"/>
        </w:rPr>
        <w:t>总体来看，集群研发投入呈现龙头强、中小弱的格局，创新资源配置不够均衡。魏桥创业集团联合中国科学院大学、中信信托筹办魏桥国科研究院，引进十名行业顶尖专家，形成“院系、研发中心、产业园”三位一体研发体系，是研发活动的引领者，带动了全行业技术创新与自主研发能力的系统性提升。可以预见，随着要素保障逐步完善，集群发展动能将得到进一步释放与增强。</w:t>
      </w:r>
    </w:p>
    <w:p>
      <w:pPr>
        <w:spacing w:lineRule="exact" w:line="600" w:after="0"/>
        <w:ind w:firstLine="420"/>
      </w:pPr>
      <w:r>
        <w:rPr>
          <w:rFonts w:ascii="仿宋_GB2312" w:hAnsi="仿宋_GB2312" w:eastAsia="仿宋_GB2312"/>
          <w:b w:val="0"/>
          <w:sz w:val="32"/>
        </w:rPr>
        <w:t>创新金属、开泰抛丸等龙头企业正将研发投向高强高韧、功能性铝合金方向，高度契合轻量化集群定位。企业研发导向日益清晰且更具市场针对性，研发投入的产出效率逐步改善，研发与市场的衔接更加紧密。政府通过政策资金、设备更新专项等机制，间接提升了中小企业创新投入能力与意愿，发挥了杠杆撬动作用。这对优化产业组织形态、增强发展韧性具有积极的现实支撑意义与长远价值。</w:t>
      </w:r>
    </w:p>
    <w:p>
      <w:pPr>
        <w:spacing w:lineRule="exact" w:line="600" w:after="0"/>
        <w:ind w:firstLine="420"/>
      </w:pPr>
      <w:r>
        <w:rPr>
          <w:rFonts w:ascii="仿宋_GB2312" w:hAnsi="仿宋_GB2312" w:eastAsia="仿宋_GB2312"/>
          <w:b w:val="0"/>
          <w:sz w:val="32"/>
        </w:rPr>
        <w:t>中小企业受规模约束，研发投入普遍偏低，多数以工艺改良与设备更新为主，原始创新能力薄弱。政府通过“双型”城市建设、科技改革攻坚等政策推送惠企红利，助力企业减轻负担、腾出技改资金，但力度仍需加大，以弥补中小企业创新短板，缩小与龙头企业的能力差距，促进协同共进。从长远计，构建开放协同的创新生态，是破解瓶颈制约的关键着力点所在。</w:t>
      </w:r>
    </w:p>
    <w:p>
      <w:pPr>
        <w:spacing w:before="120" w:after="120" w:lineRule="exact" w:line="600"/>
      </w:pPr>
      <w:r>
        <w:rPr>
          <w:rFonts w:ascii="楷体_GB2312" w:hAnsi="楷体_GB2312" w:eastAsia="楷体_GB2312"/>
          <w:b w:val="0"/>
          <w:sz w:val="32"/>
        </w:rPr>
        <w:t>（二）创新产出</w:t>
      </w:r>
    </w:p>
    <w:p>
      <w:pPr>
        <w:spacing w:lineRule="exact" w:line="600" w:after="0"/>
        <w:ind w:firstLine="420"/>
      </w:pPr>
      <w:r>
        <w:rPr>
          <w:rFonts w:ascii="仿宋_GB2312" w:hAnsi="仿宋_GB2312" w:eastAsia="仿宋_GB2312"/>
          <w:b w:val="0"/>
          <w:sz w:val="32"/>
        </w:rPr>
        <w:t>创新产出方面，集群在高强韧铝合金与轻量化材料领域成果突出。魏桥国科研究院建设山东首条液态模锻挤压锻造生产线，研发的系列高强韧铝合金材料，强度、抗疲劳、抗腐蚀等综合性能较传统合金提升百分之二十以上，形成难以复制的差异化竞争优势，市场认可度不断提高，创新红利持续释放。说明相关举措已初见成效，但要把成果做深做实，仍须常抓不懈、久久为功。</w:t>
      </w:r>
    </w:p>
    <w:p>
      <w:pPr>
        <w:spacing w:lineRule="exact" w:line="600" w:after="0"/>
        <w:ind w:firstLine="420"/>
      </w:pPr>
      <w:r>
        <w:rPr>
          <w:rFonts w:ascii="仿宋_GB2312" w:hAnsi="仿宋_GB2312" w:eastAsia="仿宋_GB2312"/>
          <w:b w:val="0"/>
          <w:sz w:val="32"/>
        </w:rPr>
        <w:t>产品创新上，全铝车身、汽车轻量化型材、轨道交通用超高强高精度超导铝材等新品持续涌现。万通金属铝卷、沐易阳光阳光房、新三元易开盖拉环材分别在各自细分领域占据领先，体现出集群从传统铝材向功能性、轻量化产品迭代的创新能力，产品矩阵不断向高附加值方向优化升级，创新供给能力稳步增强。由此进一步印证，特色化、差异化的发展路径符合集群实际与自身比较优势。</w:t>
      </w:r>
    </w:p>
    <w:p>
      <w:pPr>
        <w:spacing w:lineRule="exact" w:line="600" w:after="0"/>
        <w:ind w:firstLine="420"/>
      </w:pPr>
      <w:r>
        <w:rPr>
          <w:rFonts w:ascii="仿宋_GB2312" w:hAnsi="仿宋_GB2312" w:eastAsia="仿宋_GB2312"/>
          <w:b w:val="0"/>
          <w:sz w:val="32"/>
        </w:rPr>
        <w:t>标准化与专利方面，龙头企业主导或参与多项行业标准制定，沐易阳光成为阳光房行业标准制定单位。创新金属、裕航等企业在导电轨、铝合金棒材等领域形成技术壁垒，体现出集群从规模制造向技术品牌跨越的创新活力，创新成果厚实，质量话语权与行业影响力稳步增强，转型成效可圈可点。这对稳定经营主体预期、激发市场活力将发挥重要的牵引与保障作用。</w:t>
      </w:r>
    </w:p>
    <w:p>
      <w:pPr>
        <w:spacing w:before="120" w:after="120" w:lineRule="exact" w:line="600"/>
      </w:pPr>
      <w:r>
        <w:rPr>
          <w:rFonts w:ascii="楷体_GB2312" w:hAnsi="楷体_GB2312" w:eastAsia="楷体_GB2312"/>
          <w:b w:val="0"/>
          <w:sz w:val="32"/>
        </w:rPr>
        <w:t>（三）创新平台</w:t>
      </w:r>
    </w:p>
    <w:p>
      <w:pPr>
        <w:spacing w:lineRule="exact" w:line="600" w:after="0"/>
        <w:ind w:firstLine="420"/>
      </w:pPr>
      <w:r>
        <w:rPr>
          <w:rFonts w:ascii="仿宋_GB2312" w:hAnsi="仿宋_GB2312" w:eastAsia="仿宋_GB2312"/>
          <w:b w:val="0"/>
          <w:sz w:val="32"/>
        </w:rPr>
        <w:t>集群公共创新平台以企业自建与新型研发机构为主，公共属性逐步增强。魏桥国科研究院、山东铝谷产业技术研究院构成高端研发载体，新材料轻量化铝“产业大脑”入选省级建设试点，山东铝协总部迁驻邹平，公共创新供给不断优化，企业获得感逐步增强，公共平台在降低中小企业创新门槛上开始发挥积极作用。需以底线思维统筹发展与安全，在变化中牢牢把握集群发展的战略主动。</w:t>
      </w:r>
    </w:p>
    <w:p>
      <w:pPr>
        <w:spacing w:lineRule="exact" w:line="600" w:after="0"/>
        <w:ind w:firstLine="420"/>
      </w:pPr>
      <w:r>
        <w:rPr>
          <w:rFonts w:ascii="仿宋_GB2312" w:hAnsi="仿宋_GB2312" w:eastAsia="仿宋_GB2312"/>
          <w:b w:val="0"/>
          <w:sz w:val="32"/>
        </w:rPr>
        <w:t>政府层面获批国家级先进铝基材料与技术重点实验室、山东省高端铝制造与应用创新创业共同体，邹平获评省工业资源综合利用基地、高端铝平台经济产业集聚区，魏桥纺织智能平台跻身省级重点。多层次平台体系显著提升城市服务功能，奠定区域创新策源地地位，公共服务能级持续跃升，创新生态日趋完善。这也对营商环境与公共服务提出了更高要求，须持续用力、不断优化提升。</w:t>
      </w:r>
    </w:p>
    <w:p>
      <w:pPr>
        <w:spacing w:lineRule="exact" w:line="600" w:after="0"/>
        <w:ind w:firstLine="420"/>
      </w:pPr>
      <w:r>
        <w:rPr>
          <w:rFonts w:ascii="仿宋_GB2312" w:hAnsi="仿宋_GB2312" w:eastAsia="仿宋_GB2312"/>
          <w:b w:val="0"/>
          <w:sz w:val="32"/>
        </w:rPr>
        <w:t>从平台层级看，集群虽拥有高能级平台，但面向中小企业的公共中试与检测载体仍待补强，创新资源以龙头企业闭环为主，外部协同与成果转化的公共平台有待加强。目前国家级智能工厂一家、专精特新“小巨人”一家、绿色工厂四家，创新平台能级仍需进一步提升，以更好服务广大中小企业。总体判断，只要方向明确、举措得当，集群完全有能力迈上更高的发展能级。</w:t>
      </w:r>
    </w:p>
    <w:p>
      <w:pPr>
        <w:spacing w:before="120" w:after="120" w:lineRule="exact" w:line="600"/>
      </w:pPr>
      <w:r>
        <w:rPr>
          <w:rFonts w:ascii="楷体_GB2312" w:hAnsi="楷体_GB2312" w:eastAsia="楷体_GB2312"/>
          <w:b w:val="0"/>
          <w:sz w:val="32"/>
        </w:rPr>
        <w:t>（四）技术转化</w:t>
      </w:r>
    </w:p>
    <w:p>
      <w:pPr>
        <w:spacing w:lineRule="exact" w:line="600" w:after="0"/>
        <w:ind w:firstLine="420"/>
      </w:pPr>
      <w:r>
        <w:rPr>
          <w:rFonts w:ascii="仿宋_GB2312" w:hAnsi="仿宋_GB2312" w:eastAsia="仿宋_GB2312"/>
          <w:b w:val="0"/>
          <w:sz w:val="32"/>
        </w:rPr>
        <w:t>技术转化方面，龙头企业示范效应明显，转化路径清晰。魏桥国科研究院形成“研发—应用—迭代”闭环，将高强韧铝合金技术转化为汽车轻量化部件，直接服务新能源整车，技术红利转化路径清晰、见效快，发挥了良好的辐射带动与标杆引领作用，带动配套企业同步提升技术应用水平，转化成效实实在在。此类探索为同类地区提供了可借鉴经验，其示范价值值得充分肯定与推广。</w:t>
      </w:r>
    </w:p>
    <w:p>
      <w:pPr>
        <w:spacing w:lineRule="exact" w:line="600" w:after="0"/>
        <w:ind w:firstLine="420"/>
      </w:pPr>
      <w:r>
        <w:rPr>
          <w:rFonts w:ascii="仿宋_GB2312" w:hAnsi="仿宋_GB2312" w:eastAsia="仿宋_GB2312"/>
          <w:b w:val="0"/>
          <w:sz w:val="32"/>
        </w:rPr>
        <w:t>政府围绕龙头企业补链延链，精准破解融资难题，营造公平有序市场环境，推动“公司+基地+农户”及产学研合作模式，使先进技术通过供应链向配套企业外溢，扩大了技术转化的覆盖面与受益群体，普惠性强，技术扩散的乘数效应逐步显现，先进技术加快向产业链上下游渗透，转化通道逐步畅通。把规划蓝图变为现实成果，关键在于狠抓落实、强化督导并形成管理闭环。</w:t>
      </w:r>
    </w:p>
    <w:p>
      <w:pPr>
        <w:spacing w:lineRule="exact" w:line="600" w:after="0"/>
        <w:ind w:firstLine="420"/>
      </w:pPr>
      <w:r>
        <w:rPr>
          <w:rFonts w:ascii="仿宋_GB2312" w:hAnsi="仿宋_GB2312" w:eastAsia="仿宋_GB2312"/>
          <w:b w:val="0"/>
          <w:sz w:val="32"/>
        </w:rPr>
        <w:t>需要关注的是，中小企业技术获取渠道有限，转化能力偏弱，创新孤岛现象存在。强化产学研合作、建设公共中试与检测平台，将有利于提升集群整体技术转化效率与成果落地率，缩小企业之间的能力差距，促进协同共进，让创新成果更快转化为现实生产力，畅通从实验室到车间的转化通道。相关经验若能在集群内有序复制推广，将显著放大整体发展的协同效应。</w:t>
      </w:r>
    </w:p>
    <w:p>
      <w:pPr>
        <w:spacing w:before="240" w:after="120" w:lineRule="exact" w:line="600"/>
      </w:pPr>
      <w:r>
        <w:rPr>
          <w:rFonts w:ascii="黑体" w:hAnsi="黑体" w:eastAsia="黑体"/>
          <w:b w:val="0"/>
          <w:sz w:val="32"/>
        </w:rPr>
        <w:t>五、生产要素禀赋</w:t>
      </w:r>
    </w:p>
    <w:p>
      <w:pPr>
        <w:spacing w:before="120" w:after="120" w:lineRule="exact" w:line="600"/>
      </w:pPr>
      <w:r>
        <w:rPr>
          <w:rFonts w:ascii="楷体_GB2312" w:hAnsi="楷体_GB2312" w:eastAsia="楷体_GB2312"/>
          <w:b w:val="0"/>
          <w:sz w:val="32"/>
        </w:rPr>
        <w:t>（一）劳动力</w:t>
      </w:r>
    </w:p>
    <w:p>
      <w:pPr>
        <w:spacing w:lineRule="exact" w:line="600" w:after="0"/>
        <w:ind w:firstLine="420"/>
      </w:pPr>
      <w:r>
        <w:rPr>
          <w:rFonts w:ascii="仿宋_GB2312" w:hAnsi="仿宋_GB2312" w:eastAsia="仿宋_GB2312"/>
          <w:b w:val="0"/>
          <w:sz w:val="32"/>
        </w:rPr>
        <w:t>集群用工以本地产业工人为主，电解、挤压、轧制等环节吸纳大量县域就业，是稳就业的重要载体，社会效益显著。魏桥创业等龙头企业参保员工规模可观，并带动上下游用工规模相当可观，社会效益突出，联农带农作用明显，为农民增收作出重要贡献，就业吸纳能力在县域产业中名列前茅，民生支撑作用强。这表明市场与政府同向发力，是提升产业能级与竞争力的有效实现路径。</w:t>
      </w:r>
    </w:p>
    <w:p>
      <w:pPr>
        <w:spacing w:lineRule="exact" w:line="600" w:after="0"/>
        <w:ind w:firstLine="420"/>
      </w:pPr>
      <w:r>
        <w:rPr>
          <w:rFonts w:ascii="仿宋_GB2312" w:hAnsi="仿宋_GB2312" w:eastAsia="仿宋_GB2312"/>
          <w:b w:val="0"/>
          <w:sz w:val="32"/>
        </w:rPr>
        <w:t>技能结构方面，产线操作、轧制等岗位以熟练工为主，研发、品控、工艺等岗位对专业技能要求较高，存在结构性错配。政府通过产教融合、技能培训等机制缓解结构性用工矛盾，提升了劳动力素质，促进了更高质量就业，但高技能人才供给仍显不足，技能短板需补齐，人才需求结构正在重塑。对中小企业而言，融入这一进程既是挑战，更是实现能级跃升的重要契机。</w:t>
      </w:r>
    </w:p>
    <w:p>
      <w:pPr>
        <w:spacing w:lineRule="exact" w:line="600" w:after="0"/>
        <w:ind w:firstLine="420"/>
      </w:pPr>
      <w:r>
        <w:rPr>
          <w:rFonts w:ascii="仿宋_GB2312" w:hAnsi="仿宋_GB2312" w:eastAsia="仿宋_GB2312"/>
          <w:b w:val="0"/>
          <w:sz w:val="32"/>
        </w:rPr>
        <w:t>随着自动化产线普及，集群对高技能运维与数字化人才需求上升。邹平以魏桥国科研究院、山东铝谷产业技术研究院等平台引入外部智力，但高端材料研发与品牌运营人才仍显不足，需持续引进培育与保留，方能支撑转型，人才短板亟待补齐，应纳入集群发展的优先议程，以人才动能支撑产业升级。由此形成的良性循环，将为集群行稳致远提供坚实而持久的内在支撑。</w:t>
      </w:r>
    </w:p>
    <w:p>
      <w:pPr>
        <w:spacing w:before="120" w:after="120" w:lineRule="exact" w:line="600"/>
      </w:pPr>
      <w:r>
        <w:rPr>
          <w:rFonts w:ascii="楷体_GB2312" w:hAnsi="楷体_GB2312" w:eastAsia="楷体_GB2312"/>
          <w:b w:val="0"/>
          <w:sz w:val="32"/>
        </w:rPr>
        <w:t>（二）资本要素</w:t>
      </w:r>
    </w:p>
    <w:p>
      <w:pPr>
        <w:spacing w:lineRule="exact" w:line="600" w:after="0"/>
        <w:ind w:firstLine="420"/>
      </w:pPr>
      <w:r>
        <w:rPr>
          <w:rFonts w:ascii="仿宋_GB2312" w:hAnsi="仿宋_GB2312" w:eastAsia="仿宋_GB2312"/>
          <w:b w:val="0"/>
          <w:sz w:val="32"/>
        </w:rPr>
        <w:t>资本供给方面，邹平市紧抓国家设备更新、节能降碳专项政策窗口，二〇二四年以来累计帮助涉铝企业争取超长期特别国债、中央预算内资金等政策性资金二点零七二一亿元，重点支持企业生产线迭代、节能改造、高端产品研发项目落地，金融活水对实体产业的支持作用得到有效发挥，资本供给体系更趋完善。上述情况表明，相关环节仍有较大提升潜力与拓展空间，需持续发力加以巩固。</w:t>
      </w:r>
    </w:p>
    <w:p>
      <w:pPr>
        <w:spacing w:lineRule="exact" w:line="600" w:after="0"/>
        <w:ind w:firstLine="420"/>
      </w:pPr>
      <w:r>
        <w:rPr>
          <w:rFonts w:ascii="仿宋_GB2312" w:hAnsi="仿宋_GB2312" w:eastAsia="仿宋_GB2312"/>
          <w:b w:val="0"/>
          <w:sz w:val="32"/>
        </w:rPr>
        <w:t>龙头企业融资能力强，魏桥、创新通过资本市场与并购重组引入资本；中小企业主要依赖普惠金融与信贷贴息，融资渠道相对单一。政府优先保障带动就业多的企业在项目申报、信贷贴息、用地指标上的合理需求，政策导向鲜明、靶向精准，但中小企业直接融资比重仍待提高，融资结构需优化，资本效率有待提升。从中可见，夯实产业基础并稳步固链强链，是稳当前、谋长远的必然选择。</w:t>
      </w:r>
    </w:p>
    <w:p>
      <w:pPr>
        <w:spacing w:lineRule="exact" w:line="600" w:after="0"/>
        <w:ind w:firstLine="420"/>
      </w:pPr>
      <w:r>
        <w:rPr>
          <w:rFonts w:ascii="仿宋_GB2312" w:hAnsi="仿宋_GB2312" w:eastAsia="仿宋_GB2312"/>
          <w:b w:val="0"/>
          <w:sz w:val="32"/>
        </w:rPr>
        <w:t>从资本效率看，魏桥铝深加工产业园、中德轻量化基地等重大项目投资强度大，需持续引入产业基金与社会资本。健全主体分类、阶段适配的资金支持体系，是提升资本配置效率、撬动社会投资的关键所在，也是稳链强链的基础，须久久为功构建多层次可持续的产业集群投融资体系，以资本要素激活产业潜能。由此判断，把既有优势转化为持久竞争力，仍需久久为功、持续加力。</w:t>
      </w:r>
    </w:p>
    <w:p>
      <w:pPr>
        <w:spacing w:before="120" w:after="120" w:lineRule="exact" w:line="600"/>
      </w:pPr>
      <w:r>
        <w:rPr>
          <w:rFonts w:ascii="楷体_GB2312" w:hAnsi="楷体_GB2312" w:eastAsia="楷体_GB2312"/>
          <w:b w:val="0"/>
          <w:sz w:val="32"/>
        </w:rPr>
        <w:t>（三）土地能耗</w:t>
      </w:r>
    </w:p>
    <w:p>
      <w:pPr>
        <w:spacing w:lineRule="exact" w:line="600" w:after="0"/>
        <w:ind w:firstLine="420"/>
      </w:pPr>
      <w:r>
        <w:rPr>
          <w:rFonts w:ascii="仿宋_GB2312" w:hAnsi="仿宋_GB2312" w:eastAsia="仿宋_GB2312"/>
          <w:b w:val="0"/>
          <w:sz w:val="32"/>
        </w:rPr>
        <w:t>土地要素上，集群以魏桥铝深加工产业园、邹平经开区为载体，为精深加工与轻量化项目预留了充足空间，载体保障有力。但部分企业受用地指标约束，扩张与技改空间仍显受限，需要盘活存量、优化增量配置，提高土地利用集约化水平，以更少土地承载更高质量的发展，土地集约利用水平有待提升。总体看，这一态势有利于集群提质增效，但短板亦不容忽视，须统筹施策。</w:t>
      </w:r>
    </w:p>
    <w:p>
      <w:pPr>
        <w:spacing w:lineRule="exact" w:line="600" w:after="0"/>
        <w:ind w:firstLine="420"/>
      </w:pPr>
      <w:r>
        <w:rPr>
          <w:rFonts w:ascii="仿宋_GB2312" w:hAnsi="仿宋_GB2312" w:eastAsia="仿宋_GB2312"/>
          <w:b w:val="0"/>
          <w:sz w:val="32"/>
        </w:rPr>
        <w:t>能耗方面，电解铝属高耗能行业，节能降碳任务不轻。魏桥创业通过铝水直供省去二次重熔、布局分布式光伏，邹平以创建全国屋顶分布式光伏发展示范县为契机，布局光伏项目一百万千瓦，其中四十七万千瓦已全部并网，年可发电四点三亿度、减少碳排放三十五万吨，绿色制造水平在行业内处于领先地位。展望未来，在政策与市场共同作用下，相关领域有望迎来更高质量的发展。</w:t>
      </w:r>
    </w:p>
    <w:p>
      <w:pPr>
        <w:spacing w:lineRule="exact" w:line="600" w:after="0"/>
        <w:ind w:firstLine="420"/>
      </w:pPr>
      <w:r>
        <w:rPr>
          <w:rFonts w:ascii="仿宋_GB2312" w:hAnsi="仿宋_GB2312" w:eastAsia="仿宋_GB2312"/>
          <w:b w:val="0"/>
          <w:sz w:val="32"/>
        </w:rPr>
        <w:t>需要重点关注电解与加工环节能耗及排放指标，环保约束持续收紧。集群通过铝水直供、余热利用、分布式光伏降低环境影响，但产能持续扩张对能耗与排放指标形成压力，绿色化改造必须持续推进、久久为功，守住生态底线，实现产业发展与环境保护双赢，以绿色约束倒逼转型，走出低碳发展新路子。应当看到，机遇与挑战并存，唯有主动作为方能巩固并扩大既有领先优势。</w:t>
      </w:r>
    </w:p>
    <w:p>
      <w:pPr>
        <w:spacing w:before="120" w:after="120" w:lineRule="exact" w:line="600"/>
      </w:pPr>
      <w:r>
        <w:rPr>
          <w:rFonts w:ascii="楷体_GB2312" w:hAnsi="楷体_GB2312" w:eastAsia="楷体_GB2312"/>
          <w:b w:val="0"/>
          <w:sz w:val="32"/>
        </w:rPr>
        <w:t>（四）原材料资源</w:t>
      </w:r>
    </w:p>
    <w:p>
      <w:pPr>
        <w:spacing w:lineRule="exact" w:line="600" w:after="0"/>
        <w:ind w:firstLine="420"/>
      </w:pPr>
      <w:r>
        <w:rPr>
          <w:rFonts w:ascii="仿宋_GB2312" w:hAnsi="仿宋_GB2312" w:eastAsia="仿宋_GB2312"/>
          <w:b w:val="0"/>
          <w:sz w:val="32"/>
        </w:rPr>
        <w:t>原料端以铝土矿与原铝为主，邹平依托魏桥创业百六十万吨电解铝产能保障上游高质铝水，本地配套基础扎实。但铝土矿高度依赖外部调入与进口，原料结构存在较高外部依赖，需引起重视，增强自主可控能力，降低外部市场波动对成本端的冲击，原料安全保障需强化，供应链韧性有待增强。实践说明，依托龙头带动与协同配套，可有效提升整体运行效率与抗风险韧性。</w:t>
      </w:r>
    </w:p>
    <w:p>
      <w:pPr>
        <w:spacing w:lineRule="exact" w:line="600" w:after="0"/>
        <w:ind w:firstLine="420"/>
      </w:pPr>
      <w:r>
        <w:rPr>
          <w:rFonts w:ascii="仿宋_GB2312" w:hAnsi="仿宋_GB2312" w:eastAsia="仿宋_GB2312"/>
          <w:b w:val="0"/>
          <w:sz w:val="32"/>
        </w:rPr>
        <w:t>政策层面，邹平发力再生铝产业，定下“十四五”末再生铝总量达三百万吨、占比超百分之六十的目标，年产五十万吨高品质再生铝合金材料项目铝合金总回收率达百分之九十六点一五，是全国碳排放最低的再生铝项目之一，为集群向高端攀升提供了更丰富的绿色原料支撑，原料端创新持续推进。需要强调的是，相关工作的系统性与协同性，直接关系集群升级的成败。</w:t>
      </w:r>
    </w:p>
    <w:p>
      <w:pPr>
        <w:spacing w:lineRule="exact" w:line="600" w:after="0"/>
        <w:ind w:firstLine="420"/>
      </w:pPr>
      <w:r>
        <w:rPr>
          <w:rFonts w:ascii="仿宋_GB2312" w:hAnsi="仿宋_GB2312" w:eastAsia="仿宋_GB2312"/>
          <w:b w:val="0"/>
          <w:sz w:val="32"/>
        </w:rPr>
        <w:t>从资源保障看，本地不依赖自有矿山，铝土矿主要依赖外部市场与进口，供应链韧性有待增强。增强原料基地合作与供应链韧性，壮大循环铝产业规模，研究废铝运输、仓储、融资、减碳奖补等针对性举措，是稳定集群成本与品质、抵御价格波动的重要基础性工作，须常抓不懈，筑牢安全底线。综合研判，集群已具备一定基础，下一步须在补链延链上取得实质性突破。</w:t>
      </w:r>
    </w:p>
    <w:p>
      <w:pPr>
        <w:spacing w:before="240" w:after="120" w:lineRule="exact" w:line="600"/>
      </w:pPr>
      <w:r>
        <w:rPr>
          <w:rFonts w:ascii="黑体" w:hAnsi="黑体" w:eastAsia="黑体"/>
          <w:b w:val="0"/>
          <w:sz w:val="32"/>
        </w:rPr>
        <w:t>六、市场与外向度</w:t>
      </w:r>
    </w:p>
    <w:p>
      <w:pPr>
        <w:spacing w:before="120" w:after="120" w:lineRule="exact" w:line="600"/>
      </w:pPr>
      <w:r>
        <w:rPr>
          <w:rFonts w:ascii="楷体_GB2312" w:hAnsi="楷体_GB2312" w:eastAsia="楷体_GB2312"/>
          <w:b w:val="0"/>
          <w:sz w:val="32"/>
        </w:rPr>
        <w:t>（一）国内市场</w:t>
      </w:r>
    </w:p>
    <w:p>
      <w:pPr>
        <w:spacing w:lineRule="exact" w:line="600" w:after="0"/>
        <w:ind w:firstLine="420"/>
      </w:pPr>
      <w:r>
        <w:rPr>
          <w:rFonts w:ascii="仿宋_GB2312" w:hAnsi="仿宋_GB2312" w:eastAsia="仿宋_GB2312"/>
          <w:b w:val="0"/>
          <w:sz w:val="32"/>
        </w:rPr>
        <w:t>国内市场上，集群产品覆盖汽车轻量化、轨道交通、电子型材、新能源等多元渠道，市场触达广泛。随着新能源汽车与绿色建筑推进，全铝车身、高强铝合金需求上升，邹平以“铝水不落地”模式推动产品向轻量化方向升级，高度契合国内需求结构的深刻变化，国内大循环的战略支点作用日益显现，内需市场支撑有力。可以预见，随着要素保障逐步完善，集群发展动能将得到进一步释放与增强。</w:t>
      </w:r>
    </w:p>
    <w:p>
      <w:pPr>
        <w:spacing w:lineRule="exact" w:line="600" w:after="0"/>
        <w:ind w:firstLine="420"/>
      </w:pPr>
      <w:r>
        <w:rPr>
          <w:rFonts w:ascii="仿宋_GB2312" w:hAnsi="仿宋_GB2312" w:eastAsia="仿宋_GB2312"/>
          <w:b w:val="0"/>
          <w:sz w:val="32"/>
        </w:rPr>
        <w:t>消费趋势上，轻量化、绿色化需求上升，带动高强铝合金、再生铝增长，需求结构加快升级。邹平推动产品向汽车轻量化、轨道交通、电子型材方向升级，市场前景广阔，内需潜力正在加速释放，消费升级红利逐步显现，国内市场份额有望稳步扩大，国内大循环支撑作用日益增强。这对优化产业组织形态、增强发展韧性具有积极的现实支撑意义与长远价值。</w:t>
      </w:r>
    </w:p>
    <w:p>
      <w:pPr>
        <w:spacing w:lineRule="exact" w:line="600" w:after="0"/>
        <w:ind w:firstLine="420"/>
      </w:pPr>
      <w:r>
        <w:rPr>
          <w:rFonts w:ascii="仿宋_GB2312" w:hAnsi="仿宋_GB2312" w:eastAsia="仿宋_GB2312"/>
          <w:b w:val="0"/>
          <w:sz w:val="32"/>
        </w:rPr>
        <w:t>需要关注国内市场竞争加剧与行业内卷，盈利空间受到挤压。集群品牌整体影响力虽强，但大量中小企业仍以区域批发与代工为主，终端溢价能力偏弱，亟待系统性品牌破局与渠道重构，提升价值链地位，摆脱低端代工困境，以品牌化提升国内市场份额，巩固并扩大领先优势。从长远计，构建开放协同的创新生态，是破解瓶颈制约的关键着力点所在。</w:t>
      </w:r>
    </w:p>
    <w:p>
      <w:pPr>
        <w:spacing w:before="120" w:after="120" w:lineRule="exact" w:line="600"/>
      </w:pPr>
      <w:r>
        <w:rPr>
          <w:rFonts w:ascii="楷体_GB2312" w:hAnsi="楷体_GB2312" w:eastAsia="楷体_GB2312"/>
          <w:b w:val="0"/>
          <w:sz w:val="32"/>
        </w:rPr>
        <w:t>（二）外贸出口</w:t>
      </w:r>
    </w:p>
    <w:p>
      <w:pPr>
        <w:spacing w:lineRule="exact" w:line="600" w:after="0"/>
        <w:ind w:firstLine="420"/>
      </w:pPr>
      <w:r>
        <w:rPr>
          <w:rFonts w:ascii="仿宋_GB2312" w:hAnsi="仿宋_GB2312" w:eastAsia="仿宋_GB2312"/>
          <w:b w:val="0"/>
          <w:sz w:val="32"/>
        </w:rPr>
        <w:t>出口是集群的重要优势，外向型特征鲜明。开泰抛丸超宽钢板预处理、智能喷砂机器人等技术国际领先并畅销全球六十多个国家；创新金属深度融入全球顶级消费电子品牌供应链，国际竞争力强，外汇贡献突出，出口成为集群稳增长的重要引擎，外贸基本盘稳固，是山东省重要的铝材外贸基地。说明相关举措已初见成效，但要把成果做深做实，仍须常抓不懈、久久为功。</w:t>
      </w:r>
    </w:p>
    <w:p>
      <w:pPr>
        <w:spacing w:lineRule="exact" w:line="600" w:after="0"/>
        <w:ind w:firstLine="420"/>
      </w:pPr>
      <w:r>
        <w:rPr>
          <w:rFonts w:ascii="仿宋_GB2312" w:hAnsi="仿宋_GB2312" w:eastAsia="仿宋_GB2312"/>
          <w:b w:val="0"/>
          <w:sz w:val="32"/>
        </w:rPr>
        <w:t>从出口结构看，集群以高强铝合金、汽车轻量化部件、工业装备为主，依托品质与技术获得国际客户认可，出口额占企业总产值比重较高，外向度在全省铝产业中稳居前列，是外贸稳增长的重要支撑，抗周期能力强，在国际市场波动中展现出较强韧性，出口结构持续优化，高端产品出口比重稳步提升。由此进一步印证，特色化、差异化的发展路径符合集群实际与自身比较优势。</w:t>
      </w:r>
    </w:p>
    <w:p>
      <w:pPr>
        <w:spacing w:lineRule="exact" w:line="600" w:after="0"/>
        <w:ind w:firstLine="420"/>
      </w:pPr>
      <w:r>
        <w:rPr>
          <w:rFonts w:ascii="仿宋_GB2312" w:hAnsi="仿宋_GB2312" w:eastAsia="仿宋_GB2312"/>
          <w:b w:val="0"/>
          <w:sz w:val="32"/>
        </w:rPr>
        <w:t>需要关注国际经贸壁垒与汇率波动风险，外部环境不确定性上升。巩固欧美、日韩等市场，拓展高端铝材出口渠道，并提升自主品牌出口比例，是稳定外贸基本盘、增强抗风险能力的关键举措，须未雨绸缪，加快构建多元稳定的出口市场格局，以市场多元化分散风险，增强外向型经济韧性。这对稳定经营主体预期、激发市场活力将发挥重要的牵引与保障作用。</w:t>
      </w:r>
    </w:p>
    <w:p>
      <w:pPr>
        <w:spacing w:before="120" w:after="120" w:lineRule="exact" w:line="600"/>
      </w:pPr>
      <w:r>
        <w:rPr>
          <w:rFonts w:ascii="楷体_GB2312" w:hAnsi="楷体_GB2312" w:eastAsia="楷体_GB2312"/>
          <w:b w:val="0"/>
          <w:sz w:val="32"/>
        </w:rPr>
        <w:t>（三）品牌建设</w:t>
      </w:r>
    </w:p>
    <w:p>
      <w:pPr>
        <w:spacing w:lineRule="exact" w:line="600" w:after="0"/>
        <w:ind w:firstLine="420"/>
      </w:pPr>
      <w:r>
        <w:rPr>
          <w:rFonts w:ascii="仿宋_GB2312" w:hAnsi="仿宋_GB2312" w:eastAsia="仿宋_GB2312"/>
          <w:b w:val="0"/>
          <w:sz w:val="32"/>
        </w:rPr>
        <w:t>品牌矩阵上，集群拥有“中国铝谷”区域名片及魏桥、创新等知名企业品牌，品牌辨识度在全国领先。邹平获评省工业资源综合利用基地、高端铝平台经济产业集聚区，山东铝协总部迁驻，企业品牌建设成效较好。但整体上仍以企业品牌为主，集群区域公用品牌的国际影响力仍需进一步放大，资源整合有待加强。需以底线思维统筹发展与安全，在变化中牢牢把握集群发展的战略主动。</w:t>
      </w:r>
    </w:p>
    <w:p>
      <w:pPr>
        <w:spacing w:lineRule="exact" w:line="600" w:after="0"/>
        <w:ind w:firstLine="420"/>
      </w:pPr>
      <w:r>
        <w:rPr>
          <w:rFonts w:ascii="仿宋_GB2312" w:hAnsi="仿宋_GB2312" w:eastAsia="仿宋_GB2312"/>
          <w:b w:val="0"/>
          <w:sz w:val="32"/>
        </w:rPr>
        <w:t>魏桥以轻量化基地与绿色制造树立形象，创新金属以全球供应链融入提升品牌内涵，开泰以国际领先技术铸就品牌背书，体现出“技术+品质”双轮驱动的品牌建设路径，为中小企业提供了可借鉴可复制的范式，说明技术壁垒与品质背书是品牌建设的关键支点，品牌方法论日益清晰，示范价值突出。这也对营商环境与公共服务提出了更高要求，须持续用力、不断优化提升。</w:t>
      </w:r>
    </w:p>
    <w:p>
      <w:pPr>
        <w:spacing w:lineRule="exact" w:line="600" w:after="0"/>
        <w:ind w:firstLine="420"/>
      </w:pPr>
      <w:r>
        <w:rPr>
          <w:rFonts w:ascii="仿宋_GB2312" w:hAnsi="仿宋_GB2312" w:eastAsia="仿宋_GB2312"/>
          <w:b w:val="0"/>
          <w:sz w:val="32"/>
        </w:rPr>
        <w:t>需要重点培育“中国铝谷”区域公用品牌，整合分散的企业品牌资源，借助展会与铝谷大宗商品交易中心统一对外形象，提升集群整体品牌溢价与全国市场认知度，避免内部品牌资源耗散，做强区域名片，以区域公用品牌统领企业品牌协同发展，以品牌之力提升产业整体价值，让“铝谷”成为走向世界的通行证。总体判断，只要方向明确、举措得当，集群完全有能力迈上更高的发展能级。</w:t>
      </w:r>
    </w:p>
    <w:p>
      <w:pPr>
        <w:spacing w:before="120" w:after="120" w:lineRule="exact" w:line="600"/>
      </w:pPr>
      <w:r>
        <w:rPr>
          <w:rFonts w:ascii="楷体_GB2312" w:hAnsi="楷体_GB2312" w:eastAsia="楷体_GB2312"/>
          <w:b w:val="0"/>
          <w:sz w:val="32"/>
        </w:rPr>
        <w:t>（四）需求端变化</w:t>
      </w:r>
    </w:p>
    <w:p>
      <w:pPr>
        <w:spacing w:lineRule="exact" w:line="600" w:after="0"/>
        <w:ind w:firstLine="420"/>
      </w:pPr>
      <w:r>
        <w:rPr>
          <w:rFonts w:ascii="仿宋_GB2312" w:hAnsi="仿宋_GB2312" w:eastAsia="仿宋_GB2312"/>
          <w:b w:val="0"/>
          <w:sz w:val="32"/>
        </w:rPr>
        <w:t>需求端呈现轻量化、绿色化、高端化三大趋势，消费变革深刻。新能源汽车、轨道交通轻量化对应高强铝合金的功能性需求，为集群产品升级指明方向，市场空间广阔且增长确定性较强，战略机遇难得，应抓紧布局抢占先机，把需求变化转化为产品升级的动力，以需求牵引供给升级。此类探索为同类地区提供了可借鉴经验，其示范价值值得充分肯定与推广。</w:t>
      </w:r>
    </w:p>
    <w:p>
      <w:pPr>
        <w:spacing w:lineRule="exact" w:line="600" w:after="0"/>
        <w:ind w:firstLine="420"/>
      </w:pPr>
      <w:r>
        <w:rPr>
          <w:rFonts w:ascii="仿宋_GB2312" w:hAnsi="仿宋_GB2312" w:eastAsia="仿宋_GB2312"/>
          <w:b w:val="0"/>
          <w:sz w:val="32"/>
        </w:rPr>
        <w:t>再生铝与循环经济需求快速增长，推动电解铝企业向再生铝延伸，产业升级窗口打开。年产五十万吨高品质再生铝合金项目反映再生铝内销与循环利用双轮扩张的态势，需求拉动效应明显，增长动能充沛，应当顺应趋势扩大再生铝产能，抢占新消费风口与不断扩张的增量市场，赢得发展主动。把规划蓝图变为现实成果，关键在于狠抓落实、强化督导并形成管理闭环。</w:t>
      </w:r>
    </w:p>
    <w:p>
      <w:pPr>
        <w:spacing w:lineRule="exact" w:line="600" w:after="0"/>
        <w:ind w:firstLine="420"/>
      </w:pPr>
      <w:r>
        <w:rPr>
          <w:rFonts w:ascii="仿宋_GB2312" w:hAnsi="仿宋_GB2312" w:eastAsia="仿宋_GB2312"/>
          <w:b w:val="0"/>
          <w:sz w:val="32"/>
        </w:rPr>
        <w:t>消费渠道向跨境电商、线上交易迁移，对集群供应链响应速度提出更高要求，渠道变革加速。补齐数字化流通短板、建设铝谷大宗商品交易中心与“产业大脑”，方能更好承接需求端的结构性变化，抢占新消费风口，实现供给与需求的更高水平动态适配，以敏捷供应链响应新需求，赢得市场主动。相关经验若能在集群内有序复制推广，将显著放大整体发展的协同效应。</w:t>
      </w:r>
    </w:p>
    <w:p>
      <w:pPr>
        <w:spacing w:before="240" w:after="120" w:lineRule="exact" w:line="600"/>
      </w:pPr>
      <w:r>
        <w:rPr>
          <w:rFonts w:ascii="黑体" w:hAnsi="黑体" w:eastAsia="黑体"/>
          <w:b w:val="0"/>
          <w:sz w:val="32"/>
        </w:rPr>
        <w:t>七、竞争格局与风险挑战</w:t>
      </w:r>
    </w:p>
    <w:p>
      <w:pPr>
        <w:spacing w:before="120" w:after="120" w:lineRule="exact" w:line="600"/>
      </w:pPr>
      <w:r>
        <w:rPr>
          <w:rFonts w:ascii="楷体_GB2312" w:hAnsi="楷体_GB2312" w:eastAsia="楷体_GB2312"/>
          <w:b w:val="0"/>
          <w:sz w:val="32"/>
        </w:rPr>
        <w:t>（一）区域竞争</w:t>
      </w:r>
    </w:p>
    <w:p>
      <w:pPr>
        <w:spacing w:lineRule="exact" w:line="600" w:after="0"/>
        <w:ind w:firstLine="420"/>
      </w:pPr>
      <w:r>
        <w:rPr>
          <w:rFonts w:ascii="仿宋_GB2312" w:hAnsi="仿宋_GB2312" w:eastAsia="仿宋_GB2312"/>
          <w:b w:val="0"/>
          <w:sz w:val="32"/>
        </w:rPr>
        <w:t>从区域竞争看，我国是铝加工大省集聚区，滨州邹平、烟台、河南等地铝产业集群实力雄厚，区域竞争日趋激烈。邹平在高端铝合金、轻量化材料领域特色鲜明，但在常规型材赛道面临周边强县的激烈竞争，必须走差异化发展道路，避免正面同质化竞争，在细分领域构筑比较优势，以特色取胜而非规模取胜。这表明市场与政府同向发力，是提升产业能级与竞争力的有效实现路径。</w:t>
      </w:r>
    </w:p>
    <w:p>
      <w:pPr>
        <w:spacing w:lineRule="exact" w:line="600" w:after="0"/>
        <w:ind w:firstLine="420"/>
      </w:pPr>
      <w:r>
        <w:rPr>
          <w:rFonts w:ascii="仿宋_GB2312" w:hAnsi="仿宋_GB2312" w:eastAsia="仿宋_GB2312"/>
          <w:b w:val="0"/>
          <w:sz w:val="32"/>
        </w:rPr>
        <w:t>滨州市内邹平轻量化铝、博兴金属板材等集群共同发展，市级层面提出梯次培育千亿级产业集群，区域间在政策与要素资源上存在一定竞争，需要明确各自的差异化定位与分工，形成错位发展格局，避免市内集群之间的内耗与重复建设，以市域协同提升整体竞争力，实现互补共赢。对中小企业而言，融入这一进程既是挑战，更是实现能级跃升的重要契机。</w:t>
      </w:r>
    </w:p>
    <w:p>
      <w:pPr>
        <w:spacing w:lineRule="exact" w:line="600" w:after="0"/>
        <w:ind w:firstLine="420"/>
      </w:pPr>
      <w:r>
        <w:rPr>
          <w:rFonts w:ascii="仿宋_GB2312" w:hAnsi="仿宋_GB2312" w:eastAsia="仿宋_GB2312"/>
          <w:b w:val="0"/>
          <w:sz w:val="32"/>
        </w:rPr>
        <w:t>全国层面，山东、河南、广东等地铝加工产业集群规模化程度高，竞争压力来自更广阔范围。邹平需以绿色制造与高端轻量化实现差异化突围，避免在通用型材领域陷入低价同质竞争，坚定不移地走专精特新、特色取胜之路，锻造独特竞争优势，守住并扩大市场份额，以特色壁垒抵御外部竞争。由此形成的良性循环，将为集群行稳致远提供坚实而持久的内在支撑。</w:t>
      </w:r>
    </w:p>
    <w:p>
      <w:pPr>
        <w:spacing w:before="120" w:after="120" w:lineRule="exact" w:line="600"/>
      </w:pPr>
      <w:r>
        <w:rPr>
          <w:rFonts w:ascii="楷体_GB2312" w:hAnsi="楷体_GB2312" w:eastAsia="楷体_GB2312"/>
          <w:b w:val="0"/>
          <w:sz w:val="32"/>
        </w:rPr>
        <w:t>（二）内部问题</w:t>
      </w:r>
    </w:p>
    <w:p>
      <w:pPr>
        <w:spacing w:lineRule="exact" w:line="600" w:after="0"/>
        <w:ind w:firstLine="420"/>
      </w:pPr>
      <w:r>
        <w:rPr>
          <w:rFonts w:ascii="仿宋_GB2312" w:hAnsi="仿宋_GB2312" w:eastAsia="仿宋_GB2312"/>
          <w:b w:val="0"/>
          <w:sz w:val="32"/>
        </w:rPr>
        <w:t>内部问题首推产业链两端薄弱：研发设计与终端品牌能力不足，大量中小企业以初加工、代工为主，附加值捕获有限，制约了集群整体效益提升与价值链向高端环节攀升的速度与质量，迫切需要通过创新加以破解，扭转低端锁定的被动局面，以两端突破提升全链效益，破解行业内卷困局。上述情况表明，相关环节仍有较大提升潜力与拓展空间，需持续发力加以巩固。</w:t>
      </w:r>
    </w:p>
    <w:p>
      <w:pPr>
        <w:spacing w:lineRule="exact" w:line="600" w:after="0"/>
        <w:ind w:firstLine="420"/>
      </w:pPr>
      <w:r>
        <w:rPr>
          <w:rFonts w:ascii="仿宋_GB2312" w:hAnsi="仿宋_GB2312" w:eastAsia="仿宋_GB2312"/>
          <w:b w:val="0"/>
          <w:sz w:val="32"/>
        </w:rPr>
        <w:t>其次是企业规模结构失衡，小微企业多、抗风险弱，绿色技改与数字化转型投入不足；部分园区公共配套与环保设施滞后，影响产品品质与可持续盈利空间，成为制约升级的瓶颈因素，需要系统施策、协同破解，以结构优化释放发展潜能，筑牢可持续发展根基，引导企业向“专精特新”转型。从中可见，夯实产业基础并稳步固链强链，是稳当前、谋长远的必然选择。</w:t>
      </w:r>
    </w:p>
    <w:p>
      <w:pPr>
        <w:spacing w:lineRule="exact" w:line="600" w:after="0"/>
        <w:ind w:firstLine="420"/>
      </w:pPr>
      <w:r>
        <w:rPr>
          <w:rFonts w:ascii="仿宋_GB2312" w:hAnsi="仿宋_GB2312" w:eastAsia="仿宋_GB2312"/>
          <w:b w:val="0"/>
          <w:sz w:val="32"/>
        </w:rPr>
        <w:t>再次是创新平台层级虽高但普惠性不足，面向中小企业的公共中试与检测载体短缺，技术成果主要在龙头企业内部闭环，中小企业难以共享，制约了集群协同创新效率与整体技术进步速度的同步提升，亟待补齐平台短板，强化公共服务，构建开放协同的创新生态体系，以平台支撑创新驱动。由此判断，把既有优势转化为持久竞争力，仍需久久为功、持续加力。</w:t>
      </w:r>
    </w:p>
    <w:p>
      <w:pPr>
        <w:spacing w:before="120" w:after="120" w:lineRule="exact" w:line="600"/>
      </w:pPr>
      <w:r>
        <w:rPr>
          <w:rFonts w:ascii="楷体_GB2312" w:hAnsi="楷体_GB2312" w:eastAsia="楷体_GB2312"/>
          <w:b w:val="0"/>
          <w:sz w:val="32"/>
        </w:rPr>
        <w:t>（三）外部风险</w:t>
      </w:r>
    </w:p>
    <w:p>
      <w:pPr>
        <w:spacing w:lineRule="exact" w:line="600" w:after="0"/>
        <w:ind w:firstLine="420"/>
      </w:pPr>
      <w:r>
        <w:rPr>
          <w:rFonts w:ascii="仿宋_GB2312" w:hAnsi="仿宋_GB2312" w:eastAsia="仿宋_GB2312"/>
          <w:b w:val="0"/>
          <w:sz w:val="32"/>
        </w:rPr>
        <w:t>外部风险方面，铝土矿与电解铝价格受国际市场波动影响，成本端不确定性上升；国际经贸壁垒、汇率波动对出口占比高的企业构成持续压力，需要建立有效的风险对冲、预警与应急储备机制，增强发展的稳健性，提高集群应对外部冲击的韧性与快速修复能力，以风险管理护航稳定发展。总体看，这一态势有利于集群提质增效，但短板亦不容忽视，须统筹施策。</w:t>
      </w:r>
    </w:p>
    <w:p>
      <w:pPr>
        <w:spacing w:lineRule="exact" w:line="600" w:after="0"/>
        <w:ind w:firstLine="420"/>
      </w:pPr>
      <w:r>
        <w:rPr>
          <w:rFonts w:ascii="仿宋_GB2312" w:hAnsi="仿宋_GB2312" w:eastAsia="仿宋_GB2312"/>
          <w:b w:val="0"/>
          <w:sz w:val="32"/>
        </w:rPr>
        <w:t>能耗双控与环保监管趋严，电解与加工环节排放与能耗标准提高，部分环保设施薄弱的中小企业面临整改与退出风险，对集群稳定发展形成挑战，绿色转型已经迫在眉睫、刻不容缓，须主动作为，加快改造提升步伐，以绿色合规筑牢生存发展底线，以绿色转型赢得未来空间，实现低碳发展。展望未来，在政策与市场共同作用下，相关领域有望迎来更高质量的发展。</w:t>
      </w:r>
    </w:p>
    <w:p>
      <w:pPr>
        <w:spacing w:lineRule="exact" w:line="600" w:after="0"/>
        <w:ind w:firstLine="420"/>
      </w:pPr>
      <w:r>
        <w:rPr>
          <w:rFonts w:ascii="仿宋_GB2312" w:hAnsi="仿宋_GB2312" w:eastAsia="仿宋_GB2312"/>
          <w:b w:val="0"/>
          <w:sz w:val="32"/>
        </w:rPr>
        <w:t>消费需求迭代加快，若产品升级跟不上轻量化、绿色化节奏，集群可能被新兴产区替代，竞争劣势放大。需以持续创新与品牌建设对冲外部不确定性，巩固既有的特色优势与市场领先地位，保持战略定力、行稳致远，在变化中把握发展主动权，以动态能力应对外部变局，实现行稳致远。应当看到，机遇与挑战并存，唯有主动作为方能巩固并扩大既有领先优势。</w:t>
      </w:r>
    </w:p>
    <w:p>
      <w:pPr>
        <w:spacing w:before="240" w:after="120" w:lineRule="exact" w:line="600"/>
      </w:pPr>
      <w:r>
        <w:rPr>
          <w:rFonts w:ascii="黑体" w:hAnsi="黑体" w:eastAsia="黑体"/>
          <w:b w:val="0"/>
          <w:sz w:val="32"/>
        </w:rPr>
        <w:t>八、政策与营商环境</w:t>
      </w:r>
    </w:p>
    <w:p>
      <w:pPr>
        <w:spacing w:before="120" w:after="120" w:lineRule="exact" w:line="600"/>
      </w:pPr>
      <w:r>
        <w:rPr>
          <w:rFonts w:ascii="楷体_GB2312" w:hAnsi="楷体_GB2312" w:eastAsia="楷体_GB2312"/>
          <w:b w:val="0"/>
          <w:sz w:val="32"/>
        </w:rPr>
        <w:t>（一）顶层政策</w:t>
      </w:r>
    </w:p>
    <w:p>
      <w:pPr>
        <w:spacing w:lineRule="exact" w:line="600" w:after="0"/>
        <w:ind w:firstLine="420"/>
      </w:pPr>
      <w:r>
        <w:rPr>
          <w:rFonts w:ascii="仿宋_GB2312" w:hAnsi="仿宋_GB2312" w:eastAsia="仿宋_GB2312"/>
          <w:b w:val="0"/>
          <w:sz w:val="32"/>
        </w:rPr>
        <w:t>国家层面，黄河流域生态保护和高质量发展战略为集群提供方向指引，山东省特色产业集群与战略性新兴产业培育机制是集群获省级认定的重要制度基础，导向清晰，政策协同性不断增强，为集群发展营造了良好的顶层制度环境，国家战略红利持续释放，绿色转型获得明确政策支撑，新材料发展迎来窗口期。实践说明，依托龙头带动与协同配套，可有效提升整体运行效率与抗风险韧性。</w:t>
      </w:r>
    </w:p>
    <w:p>
      <w:pPr>
        <w:spacing w:lineRule="exact" w:line="600" w:after="0"/>
        <w:ind w:firstLine="420"/>
      </w:pPr>
      <w:r>
        <w:rPr>
          <w:rFonts w:ascii="仿宋_GB2312" w:hAnsi="仿宋_GB2312" w:eastAsia="仿宋_GB2312"/>
          <w:b w:val="0"/>
          <w:sz w:val="32"/>
        </w:rPr>
        <w:t>省级层面，山东省将高端铝作为重点产业链，将邹平轻量化铝纳入特色产业集群与战略性新兴产业集群，并配套专精特新、绿色工厂等专项政策，为集群企业争取资质与资金提供支持，政策叠加效应日益明显，红利持续释放，企业获得感不断提升，省级赋能成效显著，特色产业集群建设步入快车道。需要强调的是，相关工作的系统性与协同性，直接关系集群升级的成败。</w:t>
      </w:r>
    </w:p>
    <w:p>
      <w:pPr>
        <w:spacing w:lineRule="exact" w:line="600" w:after="0"/>
        <w:ind w:firstLine="420"/>
      </w:pPr>
      <w:r>
        <w:rPr>
          <w:rFonts w:ascii="仿宋_GB2312" w:hAnsi="仿宋_GB2312" w:eastAsia="仿宋_GB2312"/>
          <w:b w:val="0"/>
          <w:sz w:val="32"/>
        </w:rPr>
        <w:t>市级层面，滨州市将高端铝作为重点产业链，邹平市编制铝产业绿色高质量发展规划，在培育力度与资源倾斜上持续加码，营造了重视集群、支持集群的浓厚氛围，形成上下合力，为集群争取更多要素支撑创造了条件，市域统筹力度不断加大，政策预期更趋稳定，发展环境持续优化。综合研判，集群已具备一定基础，下一步须在补链延链上取得实质性突破。</w:t>
      </w:r>
    </w:p>
    <w:p>
      <w:pPr>
        <w:spacing w:before="120" w:after="120" w:lineRule="exact" w:line="600"/>
      </w:pPr>
      <w:r>
        <w:rPr>
          <w:rFonts w:ascii="楷体_GB2312" w:hAnsi="楷体_GB2312" w:eastAsia="楷体_GB2312"/>
          <w:b w:val="0"/>
          <w:sz w:val="32"/>
        </w:rPr>
        <w:t>（二）地方扶持</w:t>
      </w:r>
    </w:p>
    <w:p>
      <w:pPr>
        <w:spacing w:lineRule="exact" w:line="600" w:after="0"/>
        <w:ind w:firstLine="420"/>
      </w:pPr>
      <w:r>
        <w:rPr>
          <w:rFonts w:ascii="仿宋_GB2312" w:hAnsi="仿宋_GB2312" w:eastAsia="仿宋_GB2312"/>
          <w:b w:val="0"/>
          <w:sz w:val="32"/>
        </w:rPr>
        <w:t>邹平市建立主体分类、阶段适配政策支持体系，对魏桥、创新等龙头扶持精深加工与轻量化项目，对中小企业推广普惠政策，实现分类精准滴灌、靶向施策，政策靶向性与实效性显著增强，不同主体都能获得与其发展阶段相匹配的扶持，政策供给更趋精准，扶持效能稳步提升，企业获得感明显增强。可以预见，随着要素保障逐步完善，集群发展动能将得到进一步释放与增强。</w:t>
      </w:r>
    </w:p>
    <w:p>
      <w:pPr>
        <w:spacing w:lineRule="exact" w:line="600" w:after="0"/>
        <w:ind w:firstLine="420"/>
      </w:pPr>
      <w:r>
        <w:rPr>
          <w:rFonts w:ascii="仿宋_GB2312" w:hAnsi="仿宋_GB2312" w:eastAsia="仿宋_GB2312"/>
          <w:b w:val="0"/>
          <w:sz w:val="32"/>
        </w:rPr>
        <w:t>资金精准滴灌方面，二〇二四年以来累计帮助涉铝企业争取超长期特别国债、中央预算内资金等政策性资金二点零七二一亿元，重点支持生产线迭代、节能改造、高端产品研发；研究再生铝专项配套政策，围绕废铝运输、仓储、融资、减碳奖补降低综合运营成本，让有限财政资金产生最大撬动效应。这对优化产业组织形态、增强发展韧性具有积极的现实支撑意义与长远价值。</w:t>
      </w:r>
    </w:p>
    <w:p>
      <w:pPr>
        <w:spacing w:lineRule="exact" w:line="600" w:after="0"/>
        <w:ind w:firstLine="420"/>
      </w:pPr>
      <w:r>
        <w:rPr>
          <w:rFonts w:ascii="仿宋_GB2312" w:hAnsi="仿宋_GB2312" w:eastAsia="仿宋_GB2312"/>
          <w:b w:val="0"/>
          <w:sz w:val="32"/>
        </w:rPr>
        <w:t>营商环境上，邹平深化“放管服”改革，健全政银企沟通机制，开展暖企行动，解决企业用地、融资、通关等难题，企业获得感显著增强，投资信心稳步回升，亲清政商关系与高效服务成为集群软实力，营商环境持续优化。中国重汽、魏桥等龙头的落地也带动了配套营商生态的整体提升，服务效能稳步提高。从长远计，构建开放协同的创新生态，是破解瓶颈制约的关键着力点所在。</w:t>
      </w:r>
    </w:p>
    <w:p>
      <w:pPr>
        <w:spacing w:before="120" w:after="120" w:lineRule="exact" w:line="600"/>
      </w:pPr>
      <w:r>
        <w:rPr>
          <w:rFonts w:ascii="楷体_GB2312" w:hAnsi="楷体_GB2312" w:eastAsia="楷体_GB2312"/>
          <w:b w:val="0"/>
          <w:sz w:val="32"/>
        </w:rPr>
        <w:t>（三）公共配套</w:t>
      </w:r>
    </w:p>
    <w:p>
      <w:pPr>
        <w:spacing w:lineRule="exact" w:line="600" w:after="0"/>
        <w:ind w:firstLine="420"/>
      </w:pPr>
      <w:r>
        <w:rPr>
          <w:rFonts w:ascii="仿宋_GB2312" w:hAnsi="仿宋_GB2312" w:eastAsia="仿宋_GB2312"/>
          <w:b w:val="0"/>
          <w:sz w:val="32"/>
        </w:rPr>
        <w:t>公共配套以园区与数字平台为主，载体体系逐步健全。魏桥铝深加工产业园为成长型企业提供标准化厂房与资质辅导，承载轻量化与高端制造，载体能级较高，承载能力较强，为项目落地提供坚实支撑，降低了企业初始投资强度，载体保障有力，集聚效应持续放大，园区承载力不断增强。说明相关举措已初见成效，但要把成果做深做实，仍须常抓不懈、久久为功。</w:t>
      </w:r>
    </w:p>
    <w:p>
      <w:pPr>
        <w:spacing w:lineRule="exact" w:line="600" w:after="0"/>
        <w:ind w:firstLine="420"/>
      </w:pPr>
      <w:r>
        <w:rPr>
          <w:rFonts w:ascii="仿宋_GB2312" w:hAnsi="仿宋_GB2312" w:eastAsia="仿宋_GB2312"/>
          <w:b w:val="0"/>
          <w:sz w:val="32"/>
        </w:rPr>
        <w:t>数字配套上，新材料轻量化铝“产业大脑”入选省级建设试点，铝谷大宗商品交易中心提供现货交易、供应链金融、物流仓储等服务；小清河复航邹平段完工验收，铁路专用线设计运量三千六百七十万吨，公共服务体系日臻完善，企业满意度提升，数字化与物流公共服务开始显现降本增效的乘数作用。由此进一步印证，特色化、差异化的发展路径符合集群实际与自身比较优势。</w:t>
      </w:r>
    </w:p>
    <w:p>
      <w:pPr>
        <w:spacing w:lineRule="exact" w:line="600" w:after="0"/>
        <w:ind w:firstLine="420"/>
      </w:pPr>
      <w:r>
        <w:rPr>
          <w:rFonts w:ascii="仿宋_GB2312" w:hAnsi="仿宋_GB2312" w:eastAsia="仿宋_GB2312"/>
          <w:b w:val="0"/>
          <w:sz w:val="32"/>
        </w:rPr>
        <w:t>需要关注的是，面向中小企业的公共检测、中试、电商直播等共享服务仍不充分，应加快补齐，降低小微企业进入高附加值环节的门槛与成本，促进整体能级稳步提升与公平竞争，让更多中小企业享公共服务红利，缩小企业间能力差距，以共享服务普惠中小企业，提升公共服务均等化水平。这对稳定经营主体预期、激发市场活力将发挥重要的牵引与保障作用。</w:t>
      </w:r>
    </w:p>
    <w:p>
      <w:pPr>
        <w:spacing w:before="120" w:after="120" w:lineRule="exact" w:line="600"/>
      </w:pPr>
      <w:r>
        <w:rPr>
          <w:rFonts w:ascii="楷体_GB2312" w:hAnsi="楷体_GB2312" w:eastAsia="楷体_GB2312"/>
          <w:b w:val="0"/>
          <w:sz w:val="32"/>
        </w:rPr>
        <w:t>（四）行业协会作用</w:t>
      </w:r>
    </w:p>
    <w:p>
      <w:pPr>
        <w:spacing w:lineRule="exact" w:line="600" w:after="0"/>
        <w:ind w:firstLine="420"/>
      </w:pPr>
      <w:r>
        <w:rPr>
          <w:rFonts w:ascii="仿宋_GB2312" w:hAnsi="仿宋_GB2312" w:eastAsia="仿宋_GB2312"/>
          <w:b w:val="0"/>
          <w:sz w:val="32"/>
        </w:rPr>
        <w:t>山东铝协总部迁驻邹平，在质量标准推广、行业自律、资源对接上发挥重要作用，行业自律逐步加强。协会维护区域产品质量声誉，守住质量底线，为健康发展保驾护航，质量安全成为集群生命线，行业自我约束机制逐步形成，协同治理格局日益完善，桥梁纽带作用持续增强。需以底线思维统筹发展与安全，在变化中牢牢把握集群发展的战略主动。</w:t>
      </w:r>
    </w:p>
    <w:p>
      <w:pPr>
        <w:spacing w:lineRule="exact" w:line="600" w:after="0"/>
        <w:ind w:firstLine="420"/>
      </w:pPr>
      <w:r>
        <w:rPr>
          <w:rFonts w:ascii="仿宋_GB2312" w:hAnsi="仿宋_GB2312" w:eastAsia="仿宋_GB2312"/>
          <w:b w:val="0"/>
          <w:sz w:val="32"/>
        </w:rPr>
        <w:t>从组织形态看，集群依托链长制与龙头企业带动，山东铝协的纽带功能日益增强。协会在技术培训、市场信息、团体标准制定上提供服务，推动企业间信息互通与联合攻关，协同效率显著提升，市场化机制逐步完善，以补政府服务之不足，构建政府、市场、社会协同治理格局，发挥协会桥梁纽带作用。这也对营商环境与公共服务提出了更高要求，须持续用力、不断优化提升。</w:t>
      </w:r>
    </w:p>
    <w:p>
      <w:pPr>
        <w:spacing w:lineRule="exact" w:line="600" w:after="0"/>
        <w:ind w:firstLine="420"/>
      </w:pPr>
      <w:r>
        <w:rPr>
          <w:rFonts w:ascii="仿宋_GB2312" w:hAnsi="仿宋_GB2312" w:eastAsia="仿宋_GB2312"/>
          <w:b w:val="0"/>
          <w:sz w:val="32"/>
        </w:rPr>
        <w:t>建议进一步强化山东铝协在公用品牌、团体标准、组团参展等方面的统筹作用，提升中小企业抱团发展与应对外部风险的能力，弥补政府服务的市场化盲区与短板，形成多元治理格局，增强行业自律与凝聚力，让协会真正成为连接政企的桥梁纽带，以行业自治提升协同水平，凝聚发展合力。总体判断，只要方向明确、举措得当，集群完全有能力迈上更高的发展能级。</w:t>
      </w:r>
    </w:p>
    <w:p>
      <w:pPr>
        <w:spacing w:before="240" w:after="120" w:lineRule="exact" w:line="600"/>
      </w:pPr>
      <w:r>
        <w:rPr>
          <w:rFonts w:ascii="黑体" w:hAnsi="黑体" w:eastAsia="黑体"/>
          <w:b w:val="0"/>
          <w:sz w:val="32"/>
        </w:rPr>
        <w:t>九、集群发展成效与效应</w:t>
      </w:r>
    </w:p>
    <w:p>
      <w:pPr>
        <w:spacing w:before="120" w:after="120" w:lineRule="exact" w:line="600"/>
      </w:pPr>
      <w:r>
        <w:rPr>
          <w:rFonts w:ascii="楷体_GB2312" w:hAnsi="楷体_GB2312" w:eastAsia="楷体_GB2312"/>
          <w:b w:val="0"/>
          <w:sz w:val="32"/>
        </w:rPr>
        <w:t>（一）经济效应</w:t>
      </w:r>
    </w:p>
    <w:p>
      <w:pPr>
        <w:spacing w:lineRule="exact" w:line="600" w:after="0"/>
        <w:ind w:firstLine="420"/>
      </w:pPr>
      <w:r>
        <w:rPr>
          <w:rFonts w:ascii="仿宋_GB2312" w:hAnsi="仿宋_GB2312" w:eastAsia="仿宋_GB2312"/>
          <w:b w:val="0"/>
          <w:sz w:val="32"/>
        </w:rPr>
        <w:t>经济效应显著，集群对县域经济支撑作用突出。二〇二四年高端铝产业集群营收达到二千七百亿元，占县域经济比重持续上升，成为第一大支柱产业，对工业增长的贡献十分突出，压舱石作用明显，发展质量稳步改善，经济支撑地位稳固，是县域经济的核心增长极，辐射带动能力持续增强。此类探索为同类地区提供了可借鉴经验，其示范价值值得充分肯定与推广。</w:t>
      </w:r>
    </w:p>
    <w:p>
      <w:pPr>
        <w:spacing w:lineRule="exact" w:line="600" w:after="0"/>
        <w:ind w:firstLine="420"/>
      </w:pPr>
      <w:r>
        <w:rPr>
          <w:rFonts w:ascii="仿宋_GB2312" w:hAnsi="仿宋_GB2312" w:eastAsia="仿宋_GB2312"/>
          <w:b w:val="0"/>
          <w:sz w:val="32"/>
        </w:rPr>
        <w:t>集群带动上下游协同产出，从原铝到挤压轧制、再生循环形成产值闭环，近二百家规上涉铝企业构成稳定税源与工业增长极，产业关联带动效应明显，乘数效应可观，拉动面广，对区域经济的辐射带动能力持续增强，产业链上下游受益面广，经济溢出效应显著，支撑作用强劲。把规划蓝图变为现实成果，关键在于狠抓落实、强化督导并形成管理闭环。</w:t>
      </w:r>
    </w:p>
    <w:p>
      <w:pPr>
        <w:spacing w:lineRule="exact" w:line="600" w:after="0"/>
        <w:ind w:firstLine="420"/>
      </w:pPr>
      <w:r>
        <w:rPr>
          <w:rFonts w:ascii="仿宋_GB2312" w:hAnsi="仿宋_GB2312" w:eastAsia="仿宋_GB2312"/>
          <w:b w:val="0"/>
          <w:sz w:val="32"/>
        </w:rPr>
        <w:t>出口对经济的拉动突出，开泰、创新等龙头企业出口额占比高，外汇收入与高端市场进入能力增强了集群经济的外向型韧性与抗周期能力，提升了经济发展的内在稳定性与安全性，为稳增长作出重要贡献，对外开放成为集群发展的重要引擎，外向型经济韧性增强，发展更趋稳健。相关经验若能在集群内有序复制推广，将显著放大整体发展的协同效应。</w:t>
      </w:r>
    </w:p>
    <w:p>
      <w:pPr>
        <w:spacing w:before="120" w:after="120" w:lineRule="exact" w:line="600"/>
      </w:pPr>
      <w:r>
        <w:rPr>
          <w:rFonts w:ascii="楷体_GB2312" w:hAnsi="楷体_GB2312" w:eastAsia="楷体_GB2312"/>
          <w:b w:val="0"/>
          <w:sz w:val="32"/>
        </w:rPr>
        <w:t>（二）就业效应</w:t>
      </w:r>
    </w:p>
    <w:p>
      <w:pPr>
        <w:spacing w:lineRule="exact" w:line="600" w:after="0"/>
        <w:ind w:firstLine="420"/>
      </w:pPr>
      <w:r>
        <w:rPr>
          <w:rFonts w:ascii="仿宋_GB2312" w:hAnsi="仿宋_GB2312" w:eastAsia="仿宋_GB2312"/>
          <w:b w:val="0"/>
          <w:sz w:val="32"/>
        </w:rPr>
        <w:t>就业效应突出，集群是县域稳就业的主渠道。电解、挤压、轧制等环节劳动密集，吸纳大量县域产业工人，全行业带动就业规模可观，稳就业作用巨大，民生意义深远，是社会稳定的重要基石，惠及广大城乡群众，就业吸纳能力突出，社会效益显著，为居民增收提供坚实支撑。这表明市场与政府同向发力，是提升产业能级与竞争力的有效实现路径。</w:t>
      </w:r>
    </w:p>
    <w:p>
      <w:pPr>
        <w:spacing w:lineRule="exact" w:line="600" w:after="0"/>
        <w:ind w:firstLine="420"/>
      </w:pPr>
      <w:r>
        <w:rPr>
          <w:rFonts w:ascii="仿宋_GB2312" w:hAnsi="仿宋_GB2312" w:eastAsia="仿宋_GB2312"/>
          <w:b w:val="0"/>
          <w:sz w:val="32"/>
        </w:rPr>
        <w:t>集群通过产业链协作联结配套企业，使中小商户以劳务输出、半成品供应融入产业链，共享产业发展收益，助力居民增收，体现了联农带农的鲜明社会价值与共同富裕导向，让产业发展成果惠及更广群体，乡村振兴与产业发展实现良性互促，带农富农成效显著，社会效应多元而深远。对中小企业而言，融入这一进程既是挑战，更是实现能级跃升的重要契机。</w:t>
      </w:r>
    </w:p>
    <w:p>
      <w:pPr>
        <w:spacing w:lineRule="exact" w:line="600" w:after="0"/>
        <w:ind w:firstLine="420"/>
      </w:pPr>
      <w:r>
        <w:rPr>
          <w:rFonts w:ascii="仿宋_GB2312" w:hAnsi="仿宋_GB2312" w:eastAsia="仿宋_GB2312"/>
          <w:b w:val="0"/>
          <w:sz w:val="32"/>
        </w:rPr>
        <w:t>从就业质量看，自动化产线提升效率的同时，对高技能岗位需求上升，就业结构正在优化。政府技能培训推动劳动力结构优化，但高端研发与品牌人才仍显不足，需持续引进与培育，优化人才结构，实现更充分更高质量就业，增强人力资本支撑，以人才升级支撑就业提质，筑牢民生根基。由此形成的良性循环，将为集群行稳致远提供坚实而持久的内在支撑。</w:t>
      </w:r>
    </w:p>
    <w:p>
      <w:pPr>
        <w:spacing w:before="120" w:after="120" w:lineRule="exact" w:line="600"/>
      </w:pPr>
      <w:r>
        <w:rPr>
          <w:rFonts w:ascii="楷体_GB2312" w:hAnsi="楷体_GB2312" w:eastAsia="楷体_GB2312"/>
          <w:b w:val="0"/>
          <w:sz w:val="32"/>
        </w:rPr>
        <w:t>（三）溢出效应</w:t>
      </w:r>
    </w:p>
    <w:p>
      <w:pPr>
        <w:spacing w:lineRule="exact" w:line="600" w:after="0"/>
        <w:ind w:firstLine="420"/>
      </w:pPr>
      <w:r>
        <w:rPr>
          <w:rFonts w:ascii="仿宋_GB2312" w:hAnsi="仿宋_GB2312" w:eastAsia="仿宋_GB2312"/>
          <w:b w:val="0"/>
          <w:sz w:val="32"/>
        </w:rPr>
        <w:t>溢出效应体现在产业链联动，公共投入撬动面广。魏桥铝深加工产业园、铝谷大宗商品交易中心等公共投入，降低中小企业进入门槛，带动装备、物流、包装等关联产业发展，放大了集群的经济外溢效应与区域辐射力，促进了县域经济整体繁荣，集群的带动功能持续增强，关联产业受益明显，协同效应突出。上述情况表明，相关环节仍有较大提升潜力与拓展空间，需持续发力加以巩固。</w:t>
      </w:r>
    </w:p>
    <w:p>
      <w:pPr>
        <w:spacing w:lineRule="exact" w:line="600" w:after="0"/>
        <w:ind w:firstLine="420"/>
      </w:pPr>
      <w:r>
        <w:rPr>
          <w:rFonts w:ascii="仿宋_GB2312" w:hAnsi="仿宋_GB2312" w:eastAsia="仿宋_GB2312"/>
          <w:b w:val="0"/>
          <w:sz w:val="32"/>
        </w:rPr>
        <w:t>技术溢出方面，魏桥国科研究院高强韧铝合金技术通过供应链向合作企业外溢；绿色铝水直供模式为中小企业节能降耗提供示范样本，带动相关业态协同发展，综合效益多元而深远，为产业升级注入了新动能，创新成果的外部正效应不断显现，技术扩散带动区域整体进步，溢出效应持续放大。从中可见，夯实产业基础并稳步固链强链，是稳当前、谋长远的必然选择。</w:t>
      </w:r>
    </w:p>
    <w:p>
      <w:pPr>
        <w:spacing w:lineRule="exact" w:line="600" w:after="0"/>
        <w:ind w:firstLine="420"/>
      </w:pPr>
      <w:r>
        <w:rPr>
          <w:rFonts w:ascii="仿宋_GB2312" w:hAnsi="仿宋_GB2312" w:eastAsia="仿宋_GB2312"/>
          <w:b w:val="0"/>
          <w:sz w:val="32"/>
        </w:rPr>
        <w:t>品牌溢出上，龙头企业的出口资质与品质形象提升“中国铝谷”整体声誉，惠及配套中小企业，形成区域品牌的正向外部性，增强了集群整体市场竞争力与口碑，实现共赢发展，区域品牌价值不断提升，集群无形资产稳步积累，品牌外溢效应持续放大，区域名片更加响亮。由此判断，把既有优势转化为持久竞争力，仍需久久为功、持续加力。总体看，这一态势有利于集群提质增效，但短板亦不容忽视，须统筹施策。</w:t>
      </w:r>
    </w:p>
    <w:p>
      <w:pPr>
        <w:spacing w:before="120" w:after="120" w:lineRule="exact" w:line="600"/>
      </w:pPr>
      <w:r>
        <w:rPr>
          <w:rFonts w:ascii="楷体_GB2312" w:hAnsi="楷体_GB2312" w:eastAsia="楷体_GB2312"/>
          <w:b w:val="0"/>
          <w:sz w:val="32"/>
        </w:rPr>
        <w:t>（四）社会效应</w:t>
      </w:r>
    </w:p>
    <w:p>
      <w:pPr>
        <w:spacing w:lineRule="exact" w:line="600" w:after="0"/>
        <w:ind w:firstLine="420"/>
      </w:pPr>
      <w:r>
        <w:rPr>
          <w:rFonts w:ascii="仿宋_GB2312" w:hAnsi="仿宋_GB2312" w:eastAsia="仿宋_GB2312"/>
          <w:b w:val="0"/>
          <w:sz w:val="32"/>
        </w:rPr>
        <w:t>社会效应方面，集群壮大助力邹平市获评“中国铝谷”、国家级新型工业化产业示范基地等多项区域荣誉，提升了县域发展能级与民生福祉，产生了广泛而积极的社会影响与示范价值，群众获得感、幸福感增强，特色产业发展与县域形象提升实现良性互动，社会美誉度持续提升，区域影响力显著增强。总体看，这一态势有利于集群提质增效，但短板亦不容忽视，须统筹施策。</w:t>
      </w:r>
    </w:p>
    <w:p>
      <w:pPr>
        <w:spacing w:lineRule="exact" w:line="600" w:after="0"/>
        <w:ind w:firstLine="420"/>
      </w:pPr>
      <w:r>
        <w:rPr>
          <w:rFonts w:ascii="仿宋_GB2312" w:hAnsi="仿宋_GB2312" w:eastAsia="仿宋_GB2312"/>
          <w:b w:val="0"/>
          <w:sz w:val="32"/>
        </w:rPr>
        <w:t>绿色制造改善人居环境，魏桥铝水直供、分布式光伏、余热利用等模式减少排放，实现产业发展与生态保护的协同，高度契合黄河流域生态战略的内在要求，走出绿色发展新路子，生态环境效益与社会效益同步提升，绿色发展理念深入人心，碳达峰碳中和实践成效可圈可点，生态效益稳步显现。展望未来，在政策与市场共同作用下，相关领域有望迎来更高质量的发展。</w:t>
      </w:r>
    </w:p>
    <w:p>
      <w:pPr>
        <w:spacing w:lineRule="exact" w:line="600" w:after="0"/>
        <w:ind w:firstLine="420"/>
      </w:pPr>
      <w:r>
        <w:rPr>
          <w:rFonts w:ascii="仿宋_GB2312" w:hAnsi="仿宋_GB2312" w:eastAsia="仿宋_GB2312"/>
          <w:b w:val="0"/>
          <w:sz w:val="32"/>
        </w:rPr>
        <w:t>产业集聚丰富就业与创业场景，魏桥铝深加工产业园成为创新创业高地，带动县域生产与生活方式升级，增强了居民对特色产业的认同感与获得感，社会效益呈现明显的多元化特征，城乡融合发展的成色更足，产业集群成为提升群众生活品质的重要依托，社会发展成果普惠共享，民生福祉持续改善。应当看到，机遇与挑战并存，唯有主动作为方能巩固并扩大既有领先优势。</w:t>
      </w:r>
    </w:p>
    <w:p>
      <w:pPr>
        <w:spacing w:before="240" w:after="120" w:lineRule="exact" w:line="600"/>
      </w:pPr>
      <w:r>
        <w:rPr>
          <w:rFonts w:ascii="黑体" w:hAnsi="黑体" w:eastAsia="黑体"/>
          <w:b w:val="0"/>
          <w:sz w:val="32"/>
        </w:rPr>
        <w:t>十、发展路径与对策建议</w:t>
      </w:r>
    </w:p>
    <w:p>
      <w:pPr>
        <w:spacing w:before="120" w:after="120" w:lineRule="exact" w:line="600"/>
      </w:pPr>
      <w:r>
        <w:rPr>
          <w:rFonts w:ascii="楷体_GB2312" w:hAnsi="楷体_GB2312" w:eastAsia="楷体_GB2312"/>
          <w:b w:val="0"/>
          <w:sz w:val="32"/>
        </w:rPr>
        <w:t>（一）现存问题总结</w:t>
      </w:r>
    </w:p>
    <w:p>
      <w:pPr>
        <w:spacing w:lineRule="exact" w:line="600" w:after="0"/>
        <w:ind w:firstLine="420"/>
      </w:pPr>
      <w:r>
        <w:rPr>
          <w:rFonts w:ascii="仿宋_GB2312" w:hAnsi="仿宋_GB2312" w:eastAsia="仿宋_GB2312"/>
          <w:b w:val="0"/>
          <w:sz w:val="32"/>
        </w:rPr>
        <w:t>总结来看，集群现存问题集中在四方面：一是产业链两端薄弱，研发设计与终端品牌能力不足；二是企业规模结构失衡，小微企业抗风险与技改能力弱；三是再生铝与公共平台配套滞后；四是创新平台普惠性不足，协同创新效率不高，短板制约明显，需系统施策加以破解，方能行稳致远。实践说明，依托龙头带动与协同配套，可有效提升整体运行效率与抗风险韧性。</w:t>
      </w:r>
    </w:p>
    <w:p>
      <w:pPr>
        <w:spacing w:lineRule="exact" w:line="600" w:after="0"/>
        <w:ind w:firstLine="420"/>
      </w:pPr>
      <w:r>
        <w:rPr>
          <w:rFonts w:ascii="仿宋_GB2312" w:hAnsi="仿宋_GB2312" w:eastAsia="仿宋_GB2312"/>
          <w:b w:val="0"/>
          <w:sz w:val="32"/>
        </w:rPr>
        <w:t>从外部看，铝价波动、国际经贸壁垒、能耗双控构成持续挑战，需求端轻量化迭代加快对产品升级提出更高要求，外部环境的不确定性明显上升，容不得半点松懈与侥幸，必须增强忧患意识与底线思维，未雨绸缪应对各类风险，以底线思维统筹发展与安全，筑牢发展根基，增强抗风险能力。需要强调的是，相关工作的系统性与协同性，直接关系集群升级的成败。</w:t>
      </w:r>
    </w:p>
    <w:p>
      <w:pPr>
        <w:spacing w:lineRule="exact" w:line="600" w:after="0"/>
        <w:ind w:firstLine="420"/>
      </w:pPr>
      <w:r>
        <w:rPr>
          <w:rFonts w:ascii="仿宋_GB2312" w:hAnsi="仿宋_GB2312" w:eastAsia="仿宋_GB2312"/>
          <w:b w:val="0"/>
          <w:sz w:val="32"/>
        </w:rPr>
        <w:t>总体判断，集群已具规模与特色优势，但向价值链高端攀升、向轻量化与再生铝转型仍处于攻坚期，需以补链强链与创新驱动破解瓶颈，推动高质量发展行稳致远，迈上新台阶，在新一轮竞争中赢得主动，把特色优势转化为持久竞争优势，以转型升级重塑产业竞争力，赢得发展主动。综合研判，集群已具备一定基础，下一步须在补链延链上取得实质性突破。</w:t>
      </w:r>
    </w:p>
    <w:p>
      <w:pPr>
        <w:spacing w:before="120" w:after="120" w:lineRule="exact" w:line="600"/>
      </w:pPr>
      <w:r>
        <w:rPr>
          <w:rFonts w:ascii="楷体_GB2312" w:hAnsi="楷体_GB2312" w:eastAsia="楷体_GB2312"/>
          <w:b w:val="0"/>
          <w:sz w:val="32"/>
        </w:rPr>
        <w:t>（二）补链强链延链方向</w:t>
      </w:r>
    </w:p>
    <w:p>
      <w:pPr>
        <w:spacing w:lineRule="exact" w:line="600" w:after="0"/>
        <w:ind w:firstLine="420"/>
      </w:pPr>
      <w:r>
        <w:rPr>
          <w:rFonts w:ascii="仿宋_GB2312" w:hAnsi="仿宋_GB2312" w:eastAsia="仿宋_GB2312"/>
          <w:b w:val="0"/>
          <w:sz w:val="32"/>
        </w:rPr>
        <w:t>补链应重点补齐再生铝原料保障与公共检测中试短板，壮大循环铝产业规模，研究废铝运输、仓储、融资、减碳奖补等针对性举措，降低综合运营成本，强化下游流通保障能力，稳住产业发展的基本盘与民生底盘，畅通从铝水到终端的链条，让优质产能转化为优质商品与稳定收益。可以预见，随着要素保障逐步完善，集群发展动能将得到进一步释放与增强。</w:t>
      </w:r>
    </w:p>
    <w:p>
      <w:pPr>
        <w:spacing w:lineRule="exact" w:line="600" w:after="0"/>
        <w:ind w:firstLine="420"/>
      </w:pPr>
      <w:r>
        <w:rPr>
          <w:rFonts w:ascii="仿宋_GB2312" w:hAnsi="仿宋_GB2312" w:eastAsia="仿宋_GB2312"/>
          <w:b w:val="0"/>
          <w:sz w:val="32"/>
        </w:rPr>
        <w:t>强链应巩固高端铝合金棒材、板材优势，提升全铝车身、汽车轻量化型材生产能力，推动龙头企业向轨道交通、电子型材延伸，牢牢占据品质高地，增强国际市场竞争力与行业话语权，巩固优势、扩大高端市场份额，把规模优势转化为质量与品牌优势，以强链提升价值链位势。这对优化产业组织形态、增强发展韧性具有积极的现实支撑意义与长远价值。</w:t>
      </w:r>
    </w:p>
    <w:p>
      <w:pPr>
        <w:spacing w:lineRule="exact" w:line="600" w:after="0"/>
        <w:ind w:firstLine="420"/>
      </w:pPr>
      <w:r>
        <w:rPr>
          <w:rFonts w:ascii="仿宋_GB2312" w:hAnsi="仿宋_GB2312" w:eastAsia="仿宋_GB2312"/>
          <w:b w:val="0"/>
          <w:sz w:val="32"/>
        </w:rPr>
        <w:t>延链应发展再生铝、轻量化新材料与精细氧化铝，依托魏桥、创新等品牌延伸消费场景，构建原料加工、绿色制造、工程服务一体化价值链，拓展价值空间与全新的增长曲线，打开更广阔的发展空间，培育新引擎，推动集群从卖材料向卖部件、卖服务升级，以延链打开价值新空间。从长远计，构建开放协同的创新生态，是破解瓶颈制约的关键着力点所在。</w:t>
      </w:r>
    </w:p>
    <w:p>
      <w:pPr>
        <w:spacing w:before="120" w:after="120" w:lineRule="exact" w:line="600"/>
      </w:pPr>
      <w:r>
        <w:rPr>
          <w:rFonts w:ascii="楷体_GB2312" w:hAnsi="楷体_GB2312" w:eastAsia="楷体_GB2312"/>
          <w:b w:val="0"/>
          <w:sz w:val="32"/>
        </w:rPr>
        <w:t>（三）企业培育建议</w:t>
      </w:r>
    </w:p>
    <w:p>
      <w:pPr>
        <w:spacing w:lineRule="exact" w:line="600" w:after="0"/>
        <w:ind w:firstLine="420"/>
      </w:pPr>
      <w:r>
        <w:rPr>
          <w:rFonts w:ascii="仿宋_GB2312" w:hAnsi="仿宋_GB2312" w:eastAsia="仿宋_GB2312"/>
          <w:b w:val="0"/>
          <w:sz w:val="32"/>
        </w:rPr>
        <w:t>实施龙头、专精特新双轮培育，壮大企业矩阵。支持魏桥、创新等龙头开展跨国合作与品牌建设，同时遴选成长型企业申报省级专精特新，引导企业退出低端价格战、向细分赛道转型，持续优化企业梯度结构与产业生态，打造更具竞争力的企业矩阵，形成大中小企业协同发展新格局。说明相关举措已初见成效，但要把成果做深做实，仍须常抓不懈、久久为功。</w:t>
      </w:r>
    </w:p>
    <w:p>
      <w:pPr>
        <w:spacing w:lineRule="exact" w:line="600" w:after="0"/>
        <w:ind w:firstLine="420"/>
      </w:pPr>
      <w:r>
        <w:rPr>
          <w:rFonts w:ascii="仿宋_GB2312" w:hAnsi="仿宋_GB2312" w:eastAsia="仿宋_GB2312"/>
          <w:b w:val="0"/>
          <w:sz w:val="32"/>
        </w:rPr>
        <w:t>强化企业孵化载体，发挥魏桥铝深加工产业园作用，为中小企业提供标准化厂房、资质辅导与订单对接，加速小微企业规范化升级与产能稳步释放，增强内生动力，厚植集群发展根基，让更多小微企业成长为支撑集群的中坚力量，以载体赋能企业成长，激活微观活力，夯实集群底座。由此进一步印证，特色化、差异化的发展路径符合集群实际与自身比较优势。</w:t>
      </w:r>
    </w:p>
    <w:p>
      <w:pPr>
        <w:spacing w:lineRule="exact" w:line="600" w:after="0"/>
        <w:ind w:firstLine="420"/>
      </w:pPr>
      <w:r>
        <w:rPr>
          <w:rFonts w:ascii="仿宋_GB2312" w:hAnsi="仿宋_GB2312" w:eastAsia="仿宋_GB2312"/>
          <w:b w:val="0"/>
          <w:sz w:val="32"/>
        </w:rPr>
        <w:t>鼓励龙头企业开放供应链与技术，带动中小企业配套；建立利益联结机制，稳定原料基地并共享产业收益，提升整体组织化水平与抗风险能力，实现共同富裕，让产业发展红利惠及更多主体，构建利益共享、风险共担的产业共同体，以共同体凝聚发展合力，促进融通发展。这对稳定经营主体预期、激发市场活力将发挥重要的牵引与保障作用。需以底线思维统筹发展与安全，在变化中牢牢把握集群发展的战略主动。</w:t>
      </w:r>
    </w:p>
    <w:p>
      <w:pPr>
        <w:spacing w:before="120" w:after="120" w:lineRule="exact" w:line="600"/>
      </w:pPr>
      <w:r>
        <w:rPr>
          <w:rFonts w:ascii="楷体_GB2312" w:hAnsi="楷体_GB2312" w:eastAsia="楷体_GB2312"/>
          <w:b w:val="0"/>
          <w:sz w:val="32"/>
        </w:rPr>
        <w:t>（四）创新提升建议</w:t>
      </w:r>
    </w:p>
    <w:p>
      <w:pPr>
        <w:spacing w:lineRule="exact" w:line="600" w:after="0"/>
        <w:ind w:firstLine="420"/>
      </w:pPr>
      <w:r>
        <w:rPr>
          <w:rFonts w:ascii="仿宋_GB2312" w:hAnsi="仿宋_GB2312" w:eastAsia="仿宋_GB2312"/>
          <w:b w:val="0"/>
          <w:sz w:val="32"/>
        </w:rPr>
        <w:t>建强公共创新平台，依托铝谷产业技术研究院布局公共研发与中试中心，联合高校院所攻关高强韧铝合金、再生铝保级利用等共性技术，弥补平台普惠短板，更好服务中小企业，补上关键短板，提升整体技术创新供给能力，让中小企业也能共享高端创新资源，以平台支撑创新普惠，缩小能力差距。需以底线思维统筹发展与安全，在变化中牢牢把握集群发展的战略主动。</w:t>
      </w:r>
    </w:p>
    <w:p>
      <w:pPr>
        <w:spacing w:lineRule="exact" w:line="600" w:after="0"/>
        <w:ind w:firstLine="420"/>
      </w:pPr>
      <w:r>
        <w:rPr>
          <w:rFonts w:ascii="仿宋_GB2312" w:hAnsi="仿宋_GB2312" w:eastAsia="仿宋_GB2312"/>
          <w:b w:val="0"/>
          <w:sz w:val="32"/>
        </w:rPr>
        <w:t>推动数字化转型，扩大新材料轻量化铝“产业大脑”覆盖，建设铝产业工业互联网平台，实现生产、物流、交易全链路数据贯通，提升质量追溯与柔性供给能力，实现降本增效与韧性提升并举，以数字化重塑产业竞争力，让数据成为集群新的生产要素与增长动能，以数字赋能提质增效。这也对营商环境与公共服务提出了更高要求，须持续用力、不断优化提升。</w:t>
      </w:r>
    </w:p>
    <w:p>
      <w:pPr>
        <w:spacing w:lineRule="exact" w:line="600" w:after="0"/>
        <w:ind w:firstLine="420"/>
      </w:pPr>
      <w:r>
        <w:rPr>
          <w:rFonts w:ascii="仿宋_GB2312" w:hAnsi="仿宋_GB2312" w:eastAsia="仿宋_GB2312"/>
          <w:b w:val="0"/>
          <w:sz w:val="32"/>
        </w:rPr>
        <w:t>引导研发投入向轻量化、绿色化倾斜，支持企业开发高强铝合金、再生铝等新品，以产品创新提升价值链位置与出口溢价，增强核心竞争力与长期的市场话语权，以创新赢得未来，把创新摆在集群发展全局的核心位置，以创新引领产业升级，培育新质生产力，锻造技术壁垒。总体判断，只要方向明确、举措得当，集群完全有能力迈上更高的发展能级。</w:t>
      </w:r>
    </w:p>
    <w:p>
      <w:pPr>
        <w:spacing w:before="120" w:after="120" w:lineRule="exact" w:line="600"/>
      </w:pPr>
      <w:r>
        <w:rPr>
          <w:rFonts w:ascii="楷体_GB2312" w:hAnsi="楷体_GB2312" w:eastAsia="楷体_GB2312"/>
          <w:b w:val="0"/>
          <w:sz w:val="32"/>
        </w:rPr>
        <w:t>（五）要素保障建议</w:t>
      </w:r>
    </w:p>
    <w:p>
      <w:pPr>
        <w:spacing w:lineRule="exact" w:line="600" w:after="0"/>
        <w:ind w:firstLine="420"/>
      </w:pPr>
      <w:r>
        <w:rPr>
          <w:rFonts w:ascii="仿宋_GB2312" w:hAnsi="仿宋_GB2312" w:eastAsia="仿宋_GB2312"/>
          <w:b w:val="0"/>
          <w:sz w:val="32"/>
        </w:rPr>
        <w:t>土地要素向魏桥铝深加工产业园、轻量化项目倾斜，保障精深加工与物流用地；探索弹性年期与标准厂房供给，降低中小企业扩张成本，切实提高土地利用效率与单位面积产出强度，让有限土地承载更高质量的发展，以集约用地支撑集群集约发展，以土地要素保障升级空间，提升集约水平。此类探索为同类地区提供了可借鉴经验，其示范价值值得充分肯定与推广。</w:t>
      </w:r>
    </w:p>
    <w:p>
      <w:pPr>
        <w:spacing w:lineRule="exact" w:line="600" w:after="0"/>
        <w:ind w:firstLine="420"/>
      </w:pPr>
      <w:r>
        <w:rPr>
          <w:rFonts w:ascii="仿宋_GB2312" w:hAnsi="仿宋_GB2312" w:eastAsia="仿宋_GB2312"/>
          <w:b w:val="0"/>
          <w:sz w:val="32"/>
        </w:rPr>
        <w:t>资本要素延续金融管家机制，扩大普惠金融与信贷贴息，设立轻量化铝产业基金，重点支持绿色技改与数字化转型项目落地，撬动更多社会资本投入实体产业，壮大耐心资本，为产业升级提供源源不断的资金活水，缓解企业融资难、融资贵，以资本活水浇灌产业沃土，激活资本潜能。把规划蓝图变为现实成果，关键在于狠抓落实、强化督导并形成管理闭环。</w:t>
      </w:r>
    </w:p>
    <w:p>
      <w:pPr>
        <w:spacing w:lineRule="exact" w:line="600" w:after="0"/>
        <w:ind w:firstLine="420"/>
      </w:pPr>
      <w:r>
        <w:rPr>
          <w:rFonts w:ascii="仿宋_GB2312" w:hAnsi="仿宋_GB2312" w:eastAsia="仿宋_GB2312"/>
          <w:b w:val="0"/>
          <w:sz w:val="32"/>
        </w:rPr>
        <w:t>人才要素加强材料研发、品牌运营与电商人才引进培育，完善技能培训体系，缓解高技能人才短缺，支撑集群向高附加值环节转型，夯实人才这一第一资源与根本竞争优势，以人才引领产业跃升，构建与集群升级相匹配的人才支撑体系，以人才动能驱动转型，筑牢人才根基。相关经验若能在集群内有序复制推广，将显著放大整体发展的协同效应。</w:t>
      </w:r>
    </w:p>
    <w:p>
      <w:pPr>
        <w:spacing w:before="120" w:after="120" w:lineRule="exact" w:line="600"/>
      </w:pPr>
      <w:r>
        <w:rPr>
          <w:rFonts w:ascii="楷体_GB2312" w:hAnsi="楷体_GB2312" w:eastAsia="楷体_GB2312"/>
          <w:b w:val="0"/>
          <w:sz w:val="32"/>
        </w:rPr>
        <w:t>（六）政策优化建议</w:t>
      </w:r>
    </w:p>
    <w:p>
      <w:pPr>
        <w:spacing w:lineRule="exact" w:line="600" w:after="0"/>
        <w:ind w:firstLine="420"/>
      </w:pPr>
      <w:r>
        <w:rPr>
          <w:rFonts w:ascii="仿宋_GB2312" w:hAnsi="仿宋_GB2312" w:eastAsia="仿宋_GB2312"/>
          <w:b w:val="0"/>
          <w:sz w:val="32"/>
        </w:rPr>
        <w:t>强化顶层统筹，将轻量化铝纳入县域“十五五”重点产业链，制定铝产业绿色高质量发展规划（二〇二六—二〇三五年），明确规模、品牌与出口目标，稳定政策预期，引导各类资源向集群高效集聚，形成政策合力，避免碎片化扶持导致资源分散，以系统思维谋划集群长远发展蓝图，以顶层设计引领发展方向。这表明市场与政府同向发力，是提升产业能级与竞争力的有效实现路径。</w:t>
      </w:r>
    </w:p>
    <w:p>
      <w:pPr>
        <w:spacing w:lineRule="exact" w:line="600" w:after="0"/>
        <w:ind w:firstLine="420"/>
      </w:pPr>
      <w:r>
        <w:rPr>
          <w:rFonts w:ascii="仿宋_GB2312" w:hAnsi="仿宋_GB2312" w:eastAsia="仿宋_GB2312"/>
          <w:b w:val="0"/>
          <w:sz w:val="32"/>
        </w:rPr>
        <w:t>优化链长制服务，健全“链主”企业遴选与闭环机制，聚焦用地、通关、融资等共性难题，提升涉企服务响应效率与企业获得感，营造一流的市场化、法治化、国际化营商环境，让企业专心致志谋发展、搞创新，使营商环境成为集群核心竞争力的重要组成部分，以优良环境滋养市场主体。对中小企业而言，融入这一进程既是挑战，更是实现能级跃升的重要契机。</w:t>
      </w:r>
    </w:p>
    <w:p>
      <w:pPr>
        <w:spacing w:lineRule="exact" w:line="600" w:after="0"/>
        <w:ind w:firstLine="420"/>
      </w:pPr>
      <w:r>
        <w:rPr>
          <w:rFonts w:ascii="仿宋_GB2312" w:hAnsi="仿宋_GB2312" w:eastAsia="仿宋_GB2312"/>
          <w:b w:val="0"/>
          <w:sz w:val="32"/>
        </w:rPr>
        <w:t>培育区域公用品牌，整合魏桥、创新等企业品牌，统一“中国铝谷”对外形象，借力展会与铝谷大宗商品交易中心提升全国市场认知与溢价能力，做强集群名片与区域标识，以品牌之力提升产业整体价值，让区域公用品牌成为集群走向全国、走向世界的通行证，以品牌增值提升竞争力。由此形成的良性循环，将为集群行稳致远提供坚实而持久的内在支撑。</w:t>
      </w:r>
    </w:p>
    <w:p>
      <w:pPr>
        <w:spacing w:before="240" w:after="120" w:lineRule="exact" w:line="600"/>
      </w:pPr>
      <w:r>
        <w:rPr>
          <w:rFonts w:ascii="黑体" w:hAnsi="黑体" w:eastAsia="黑体"/>
          <w:b w:val="0"/>
          <w:sz w:val="32"/>
        </w:rPr>
        <w:t>参考资料</w:t>
      </w:r>
    </w:p>
    <w:p>
      <w:pPr>
        <w:spacing w:lineRule="exact" w:line="600" w:after="0"/>
        <w:ind w:firstLine="0"/>
      </w:pPr>
      <w:r>
        <w:rPr>
          <w:rFonts w:ascii="仿宋_GB2312" w:hAnsi="仿宋_GB2312" w:eastAsia="仿宋_GB2312"/>
          <w:b w:val="0"/>
          <w:sz w:val="32"/>
        </w:rPr>
        <w:t>1. 科技日报：山东邹平：一条铝链串起千亿产业（涉铝企业110余家、2024年高端铝产业集群营收2700亿元）https://www.stdaily.com/web/gdxw/2026-01/13/content_460837.html</w:t>
      </w:r>
    </w:p>
    <w:p>
      <w:pPr>
        <w:spacing w:lineRule="exact" w:line="600" w:after="0"/>
        <w:ind w:firstLine="0"/>
      </w:pPr>
      <w:r>
        <w:rPr>
          <w:rFonts w:ascii="仿宋_GB2312" w:hAnsi="仿宋_GB2312" w:eastAsia="仿宋_GB2312"/>
          <w:b w:val="0"/>
          <w:sz w:val="32"/>
        </w:rPr>
        <w:t>2. 新浪财经：山东邹平“廿年为功”推动“中国铝谷”屡创佳绩（2023年高端铝产业集群营收2506亿元、规上79家）https://finance.sina.cn/2024-06-07/detail-inaxwxix0078090.d.html</w:t>
      </w:r>
    </w:p>
    <w:p>
      <w:pPr>
        <w:spacing w:lineRule="exact" w:line="600" w:after="0"/>
        <w:ind w:firstLine="0"/>
      </w:pPr>
      <w:r>
        <w:rPr>
          <w:rFonts w:ascii="仿宋_GB2312" w:hAnsi="仿宋_GB2312" w:eastAsia="仿宋_GB2312"/>
          <w:b w:val="0"/>
          <w:sz w:val="32"/>
        </w:rPr>
        <w:t>3. 鲁网/连云港日报：锻造产城融合新典范 激活城镇发展新动能（魏桥160万吨电解铝、铝水直供85%）http://lygrbepaper.lygfb.cn/Article/index/aid/9036586.html</w:t>
      </w:r>
    </w:p>
    <w:p>
      <w:pPr>
        <w:spacing w:lineRule="exact" w:line="600" w:after="0"/>
        <w:ind w:firstLine="0"/>
      </w:pPr>
      <w:r>
        <w:rPr>
          <w:rFonts w:ascii="仿宋_GB2312" w:hAnsi="仿宋_GB2312" w:eastAsia="仿宋_GB2312"/>
          <w:b w:val="0"/>
          <w:sz w:val="32"/>
        </w:rPr>
        <w:t>4. 中国发展网：山东邹平“三链”融合 打造轻量化铝特色产业集群（魏桥国科研究院、再生铝、分布式光伏）http://fzdh.chinadevelopment.com.cn/qyscxf/2023/1026/1865229.shtml</w:t>
      </w:r>
    </w:p>
    <w:p>
      <w:pPr>
        <w:spacing w:lineRule="exact" w:line="600" w:after="0"/>
        <w:ind w:firstLine="0"/>
      </w:pPr>
      <w:r>
        <w:rPr>
          <w:rFonts w:ascii="仿宋_GB2312" w:hAnsi="仿宋_GB2312" w:eastAsia="仿宋_GB2312"/>
          <w:b w:val="0"/>
          <w:sz w:val="32"/>
        </w:rPr>
        <w:t>5. 邹平市人民政府：市人大建议答复《破解铝加工产业“内卷”困局》（政策资金2.07亿元、专精特新小巨人）http://www.zouping.gov.cn/art/2026/7/14/art_315162_13890.html</w:t>
      </w:r>
    </w:p>
    <w:p>
      <w:pPr>
        <w:spacing w:lineRule="exact" w:line="600" w:after="0"/>
        <w:ind w:firstLine="0"/>
      </w:pPr>
      <w:r>
        <w:rPr>
          <w:rFonts w:ascii="仿宋_GB2312" w:hAnsi="仿宋_GB2312" w:eastAsia="仿宋_GB2312"/>
          <w:b w:val="0"/>
          <w:sz w:val="32"/>
        </w:rPr>
        <w:t>6. 邹平市人民政府：《关于打造“世界高端铝业基地核心区”》政策文件（PDF）http://www.zouping.gov.cn/module/download/downfile.jsp?classid=0&amp;filename=fdb037d00a4d4748b2271ac7e0e7e378.pdf</w:t>
      </w:r>
    </w:p>
    <w:p>
      <w:pPr>
        <w:spacing w:lineRule="exact" w:line="600" w:after="0"/>
        <w:ind w:firstLine="0"/>
      </w:pPr>
      <w:r>
        <w:rPr>
          <w:rFonts w:ascii="仿宋_GB2312" w:hAnsi="仿宋_GB2312" w:eastAsia="仿宋_GB2312"/>
          <w:b w:val="0"/>
          <w:sz w:val="32"/>
        </w:rPr>
        <w:t>7. 滨州市人民政府：邹平市国民经济和社会发展第十四个五年规划（铝谷平台、产业技术研究院）http://www.binzhou.gov.cn/art/2021/8/3/art_299040_20495.html</w:t>
      </w:r>
    </w:p>
    <w:p>
      <w:pPr>
        <w:spacing w:lineRule="exact" w:line="600" w:after="0"/>
        <w:ind w:firstLine="0"/>
      </w:pPr>
      <w:r>
        <w:rPr>
          <w:rFonts w:ascii="仿宋_GB2312" w:hAnsi="仿宋_GB2312" w:eastAsia="仿宋_GB2312"/>
          <w:b w:val="0"/>
          <w:sz w:val="32"/>
        </w:rPr>
        <w:t>8. 中国商务新闻网：邹平经开区借力峰会拓开放新局（近200家规上涉铝企业、2600亿元营收）https://www.comnews.cn/content/2026-06/17/content_64937.html</w:t>
      </w:r>
    </w:p>
    <w:p>
      <w:pPr>
        <w:spacing w:lineRule="exact" w:line="600" w:after="0"/>
        <w:ind w:firstLine="0"/>
      </w:pPr>
      <w:r>
        <w:rPr>
          <w:rFonts w:ascii="仿宋_GB2312" w:hAnsi="仿宋_GB2312" w:eastAsia="仿宋_GB2312"/>
          <w:b w:val="0"/>
          <w:sz w:val="32"/>
        </w:rPr>
        <w:t>注：本报告部分数据为基于公开信息的整理和合理估算，具体精确数据以政府部门和统计机构官方发布为准。</w:t>
      </w:r>
    </w:p>
    <w:sectPr w:rsidR="00FC693F" w:rsidRPr="0006063C" w:rsidSect="00034616">
      <w:footerReference w:type="default" r:id="rId9"/>
      <w:pgSz w:w="12240" w:h="15840"/>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rFonts w:ascii="宋体" w:hAnsi="宋体" w:eastAsia="宋体"/>
        <w:b w:val="0"/>
        <w:sz w:val="28"/>
      </w:rPr>
      <w:t xml:space="preserve">— </w:t>
    </w:r>
    <w:r>
      <w:rPr>
        <w:rFonts w:ascii="Times New Roman" w:hAnsi="Times New Roman" w:eastAsia="宋体"/>
        <w:sz w:val="28"/>
      </w:rPr>
      <w:fldChar w:fldCharType="begin"/>
      <w:instrText xml:space="preserve">PAGE</w:instrText>
      <w:fldChar w:fldCharType="end"/>
    </w:r>
    <w:r>
      <w:rPr>
        <w:rFonts w:ascii="宋体" w:hAnsi="宋体" w:eastAsia="宋体"/>
        <w:b w:val="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