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青岛市城阳区橡塑材料产业集群发展研究报告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城阳区橡塑材料产业集群于2022年度入选工业和信息化部首批国家中小企业特色产业集群名单，系山东省七个入选集群之一、青岛市两个入选集群之一，区域标识度与产业根植性突出。该集群的区域标识度与产业根植性较为突出，在北方同类特色产业集群中具有显著的标杆意义与示范价值，对城阳区新材料产业整体跃升发挥着重要的牵引与支撑作用。</w:t>
      </w:r>
    </w:p>
    <w:p>
      <w:pPr>
        <w:spacing w:lineRule="exact" w:line="600" w:after="0"/>
        <w:ind w:firstLine="420"/>
      </w:pPr>
      <w:r>
        <w:rPr>
          <w:rFonts w:ascii="仿宋_GB2312" w:hAnsi="仿宋_GB2312" w:eastAsia="仿宋_GB2312"/>
          <w:b w:val="0"/>
          <w:sz w:val="32"/>
        </w:rPr>
        <w:t>该集群定位在县级行政区划范围内，以中小企业为主体，主导产业聚焦、优势特色鲜明、资源要素汇聚、协作网络高效、治理服务完善，是城阳区新材料产业发展的核心承载板块。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集群地处青岛北部先进制造业集聚区，依托城阳区雄厚的制造基础与开放区位优势，形成了以高分子改性材料、橡塑制品为主攻方向的特色化、专业化发展格局，示范带动效应持续显现。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2021年该集群主导产业完成产值一百四十六亿元，同比增长百分之三十点四，增速在城阳区特色产业集群中居于前列，集聚效应与规模经济持续释放。上述规模指标的持续跃升，较为充分地印证了集群内在集聚效应与规模经济正在不断释放，也为城阳区建设先进制造业集聚区增添了坚实而持久的产业底气与发展后劲。上述规模指标的持续跃升，较为充分地印证了集群内在集聚效应与规模经济正在不断释放，也为城阳区建设先进制造业集聚区增添了坚实而持久的产业底气与发展后劲。</w:t>
      </w:r>
    </w:p>
    <w:p>
      <w:pPr>
        <w:spacing w:lineRule="exact" w:line="600" w:after="0"/>
        <w:ind w:firstLine="420"/>
      </w:pPr>
      <w:r>
        <w:rPr>
          <w:rFonts w:ascii="仿宋_GB2312" w:hAnsi="仿宋_GB2312" w:eastAsia="仿宋_GB2312"/>
          <w:b w:val="0"/>
          <w:sz w:val="32"/>
        </w:rPr>
        <w:t>集群集聚上下游企业九十余家，其中涵盖工程塑料、塑料制品、橡胶制品、聚氨酯聚脲、高分子材料成型装备、高分子复合材料及产品质量检验检测等多个细分领域。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从城阳区整体看，新材料产业已成长为重要支柱，橡塑材料作为首批国家级特色产业集群，带动全区新材料产业链营业收入突破四百亿元，国恩集团等骨干企业营收突破两百亿元。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橡塑材料，上游涵盖基础原料与单体，中游聚焦材料合成与改性，下游延伸至制品制造与应用，形成了较为完整的橡胶和塑料制品业产业链条。主导产业的清晰定位与有序协同，为后续补链强链延链提供了明确而稳定的着力点，有利于在改性塑料与复合材料等细分赛道形成错位竞争与差异化优势。主导产业的清晰定位与有序协同，为后续补链强链延链提供了明确而稳定的着力点，有利于在改性塑料与复合材料等细分赛道形成错位竞争与差异化优势。</w:t>
      </w:r>
    </w:p>
    <w:p>
      <w:pPr>
        <w:spacing w:lineRule="exact" w:line="600" w:after="0"/>
        <w:ind w:firstLine="420"/>
      </w:pPr>
      <w:r>
        <w:rPr>
          <w:rFonts w:ascii="仿宋_GB2312" w:hAnsi="仿宋_GB2312" w:eastAsia="仿宋_GB2312"/>
          <w:b w:val="0"/>
          <w:sz w:val="32"/>
        </w:rPr>
        <w:t>主导产业定位清晰，以改性塑料、高分子复合材料、聚氨酯材料及橡塑制品为核心，广泛应用于汽车轻量化、家电、轨道交通、绿色建筑及大健康等领域，需求基础扎实。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清晰的产业定位为后续补链强链延链提供了明确而稳定的着力点，有利于在细分赛道形成错位竞争优势，避免低水平重复建设，支撑集群由规模扩张迈向质量提升。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集群涵盖工程塑料、塑料制品、橡胶制品、聚氨酯聚脲、高分子材料成型装备、高分子复合材料及产品质量检验检测等环节，链条完整度较高。整体而言，该集群产业链的内生配套能力在县域特色集群中处于相对领先水平，就近配套率与协作紧密度较高，为抵御外部冲击提供了较为稳固的产业底盘。整体而言，该集群产业链的内生配套能力在县域特色集群中处于相对领先水平，就近配套率与协作紧密度较高，为抵御外部冲击提供了较为稳固的产业底盘。</w:t>
      </w:r>
    </w:p>
    <w:p>
      <w:pPr>
        <w:spacing w:lineRule="exact" w:line="600" w:after="0"/>
        <w:ind w:firstLine="420"/>
      </w:pPr>
      <w:r>
        <w:rPr>
          <w:rFonts w:ascii="仿宋_GB2312" w:hAnsi="仿宋_GB2312" w:eastAsia="仿宋_GB2312"/>
          <w:b w:val="0"/>
          <w:sz w:val="32"/>
        </w:rPr>
        <w:t>上游原料与单体供应、中游合成改性、下游制品应用及配套检测装备基本齐备，就近配套能力与协作紧密度较强，产业链供应链稳健性在县域特色集群中处于领先水平。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集群内部大中小企业协同分工明确，龙头企业纵向一体化带动配套中小企业集聚，形成了从研发、生产到检测服务的闭环式产业生态，内生配套能力较为突出。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在高端专用料、特种工程塑料、关键助剂等部分高附加值环节仍存短板，对外部原料与核心技术存在一定依赖，自主可控水平有待进一步提升。补齐上述若干短板，是集群由规模领先转向质量领先必须跨越的关键关口，亟需以系统思维统筹推进技术攻关、业态升级与公共服务供给的协同强化。补齐上述若干短板，是集群由规模领先转向质量领先必须跨越的关键关口，亟需以系统思维统筹推进技术攻关、业态升级与公共服务供给的协同强化。</w:t>
      </w:r>
    </w:p>
    <w:p>
      <w:pPr>
        <w:spacing w:lineRule="exact" w:line="600" w:after="0"/>
        <w:ind w:firstLine="420"/>
      </w:pPr>
      <w:r>
        <w:rPr>
          <w:rFonts w:ascii="仿宋_GB2312" w:hAnsi="仿宋_GB2312" w:eastAsia="仿宋_GB2312"/>
          <w:b w:val="0"/>
          <w:sz w:val="32"/>
        </w:rPr>
        <w:t>部分中小企业以通用橡塑制品为主，产品同质化竞争现象仍存，向高端化、差异化、功能化转型的步伐不够快，亟需以系统思维统筹推进短板补齐与价值攀升。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创新平台与中试熟化、检验检测等公共服务虽已具备基础，但在前沿材料、原创工艺方面的供给能力仍显不足，制约了产业链整体向价值链高端环节的延伸。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目前以材料合成改性与制品制造为主，处于价值链中上游，在改性配方、复合材料成型等环节已具备一定议价能力，但高端专用料仍依赖外购。提升价值链位势、向高附加值环节攀升，应成为下一阶段集群转型升级的核心命题与主攻方向，须久久为功，以原创技术与品牌溢价构筑持续竞争优势。提升价值链位势、向高附加值环节攀升，应成为下一阶段集群转型升级的核心命题与主攻方向，须久久为功，以原创技术与品牌溢价构筑持续竞争优势。</w:t>
      </w:r>
    </w:p>
    <w:p>
      <w:pPr>
        <w:spacing w:lineRule="exact" w:line="600" w:after="0"/>
        <w:ind w:firstLine="420"/>
      </w:pPr>
      <w:r>
        <w:rPr>
          <w:rFonts w:ascii="仿宋_GB2312" w:hAnsi="仿宋_GB2312" w:eastAsia="仿宋_GB2312"/>
          <w:b w:val="0"/>
          <w:sz w:val="32"/>
        </w:rPr>
        <w:t>提升价值链位势、向高附加值环节攀升，应成为下一阶段集群转型升级的核心命题与主攻方向，须久久为功，强化原创技术与品牌溢价的双重支撑。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随着龙头企业纵向一体化平台不断完善，研发设计与技术服务环节比重上升，集群有望由单纯产品制造向材料整体解决方案提供商转型，价值链位势将稳步抬升。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国恩股份等上市公司为龙头、专精特新与瞪羚企业为骨干、广大中小企业配套协作的梯次化分工格局，专业化与规模化良性互动。合理的产业分工格局有效降低了集群内部的同质化竞争与资源错配损耗，促进了专业化与规模化的良性互动，使本地化供应网络运转更趋高效有序。合理的产业分工格局有效降低了集群内部的同质化竞争与资源错配损耗，促进了专业化与规模化的良性互动，使本地化供应网络运转更趋高效有序。</w:t>
      </w:r>
    </w:p>
    <w:p>
      <w:pPr>
        <w:spacing w:lineRule="exact" w:line="600" w:after="0"/>
        <w:ind w:firstLine="420"/>
      </w:pPr>
      <w:r>
        <w:rPr>
          <w:rFonts w:ascii="仿宋_GB2312" w:hAnsi="仿宋_GB2312" w:eastAsia="仿宋_GB2312"/>
          <w:b w:val="0"/>
          <w:sz w:val="32"/>
        </w:rPr>
        <w:t>合理的产业分工有效降低了内部的同质化竞争与资源错配损耗，龙头企业专注平台集成与高端材料，中小企业聚焦专用料、零部件与特色制品，协同效率较高。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城阳区通过园区化布局引导企业按功能分区集聚，促进了研发、生产、检测等环节的空间协同，产业分工格局在动态优化中趋于成熟稳定。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集聚上下游企业九十余家，企业规模结构呈金字塔型：以国恩股份为代表的上市公司处于塔尖，五十家高新技术企业、五家专精特新小巨人为中坚，广大中小企业构成底座。优化企业规模结构、壮大骨干企业梯队，有助于增强集群整体抗周期波动与应对订单起伏的能力，夯实基本盘，并提升在国内外市场中的话语权与稳定性。优化企业规模结构、壮大骨干企业梯队，有助于增强集群整体抗周期波动与应对订单起伏的能力，夯实基本盘，并提升在国内外市场中的话语权与稳定性。</w:t>
      </w:r>
    </w:p>
    <w:p>
      <w:pPr>
        <w:spacing w:lineRule="exact" w:line="600" w:after="0"/>
        <w:ind w:firstLine="420"/>
      </w:pPr>
      <w:r>
        <w:rPr>
          <w:rFonts w:ascii="仿宋_GB2312" w:hAnsi="仿宋_GB2312" w:eastAsia="仿宋_GB2312"/>
          <w:b w:val="0"/>
          <w:sz w:val="32"/>
        </w:rPr>
        <w:t>上市公司两家、高新技术企业五十家、专精特新小巨人五家、专精特新及瞪羚企业等六十七家，骨干企业群体较为厚实，对集群整体竞争力形成有力支撑。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优化企业规模结构、壮大骨干企业梯队，有助于增强集群整体抗周期波动与应对订单起伏的能力，夯实基本盘，提升在国内外市场中的话语权与稳定性。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经济和股份制企业为主，产权结构多元灵活，市场机制活跃，同时有两家上市公司借助资本市场实现跨越式发展，混合所有制活力显现。多元产权格局为集群注入了兼具市场活力与战略韧性的制度基础，民营经济的创新敏锐度与上市公司的资源聚合效应相互补充，协同放大效应逐步显现。多元产权格局为集群注入了兼具市场活力与战略韧性的制度基础，民营经济的创新敏锐度与上市公司的资源聚合效应相互补充，协同放大效应逐步显现。</w:t>
      </w:r>
    </w:p>
    <w:p>
      <w:pPr>
        <w:spacing w:lineRule="exact" w:line="600" w:after="0"/>
        <w:ind w:firstLine="420"/>
      </w:pPr>
      <w:r>
        <w:rPr>
          <w:rFonts w:ascii="仿宋_GB2312" w:hAnsi="仿宋_GB2312" w:eastAsia="仿宋_GB2312"/>
          <w:b w:val="0"/>
          <w:sz w:val="32"/>
        </w:rPr>
        <w:t>国恩股份于2015年在深交所主板上市，2026年2月又在香港联交所主板上市，成为A加H股上市公司，资本运作与产业经营良性互动，为集群注入战略韧性。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多元产权格局为集群注入了兼具市场活力与战略韧性的制度基础，民营经济的创新敏锐度与上市公司的资源聚合效应相互补充，协同效应逐步显现。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青岛国恩科技股份有限公司是集群龙头，成立于2000年，总部位于城阳区棘洪滩街道青大工业园，主营改性塑料等化工新材料，是国家首批高新技术企业。头部企业的示范牵引与能力外溢是集群核心竞争力的重要来源，国恩股份带动上下游配套企业协同创新，对中小企业技术升级、订单获取与规范管理带动明显。头部企业的示范牵引与能力外溢是集群核心竞争力的重要来源，国恩股份带动上下游配套企业协同创新，对中小企业技术升级、订单获取与规范管理带动明显。</w:t>
      </w:r>
    </w:p>
    <w:p>
      <w:pPr>
        <w:spacing w:lineRule="exact" w:line="600" w:after="0"/>
        <w:ind w:firstLine="420"/>
      </w:pPr>
      <w:r>
        <w:rPr>
          <w:rFonts w:ascii="仿宋_GB2312" w:hAnsi="仿宋_GB2312" w:eastAsia="仿宋_GB2312"/>
          <w:b w:val="0"/>
          <w:sz w:val="32"/>
        </w:rPr>
        <w:t>国恩股份实施一体两翼战略，以纵向一体化产业平台为中枢，以大化工及大健康产业为两翼，拥有二十余家子公司，年营业额约二百一十二亿元，位列中国民营企业五百强。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头部企业的示范牵引与能力外溢是集群核心竞争力的重要来源，国恩股份带动上下游配套企业协同创新，对中小企业技术升级与订单获取带动效应明显。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园区化、集约化集聚特征，企业围绕青大工业园等载体集中布局，空间临近降低了物流与协作成本，促进了技术、人才与信息的跨区域流动。持续深化的空间集聚正在释放明显的规模经济与创新的区域外溢效应，园区化、集约化发展特征日益鲜明，企业间就近协作的黏性与效率同步增强。持续深化的空间集聚正在释放明显的规模经济与创新的区域外溢效应，园区化、集约化发展特征日益鲜明，企业间就近协作的黏性与效率同步增强。</w:t>
      </w:r>
    </w:p>
    <w:p>
      <w:pPr>
        <w:spacing w:lineRule="exact" w:line="600" w:after="0"/>
        <w:ind w:firstLine="420"/>
      </w:pPr>
      <w:r>
        <w:rPr>
          <w:rFonts w:ascii="仿宋_GB2312" w:hAnsi="仿宋_GB2312" w:eastAsia="仿宋_GB2312"/>
          <w:b w:val="0"/>
          <w:sz w:val="32"/>
        </w:rPr>
        <w:t>持续深化的空间集聚正在释放明显的规模经济与创新的区域外溢效应，配套企业就地响应龙头企业需求，形成了高效协同的本地化供应网络。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企业集聚与城阳区先进制造业集聚区建设相互支撑，新材料、轨道交通、生物医药等产业就近协同，进一步强化了集群在区域制造体系中的枢纽地位。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龙头企业研发投入强度较高，国恩股份技术中心于2022年被认定为国家企业技术中心，彰显了骨干企业在创新策源方面的引领能力，研发投入稳步增长。研发投入的稳步增长与强度提升为集群整体创新能力跃升提供了坚实基础支撑，创新策源功能不断增强，新材料原创工艺与配方储备持续积累厚植。研发投入的稳步增长与强度提升为集群整体创新能力跃升提供了坚实基础支撑，创新策源功能不断增强，新材料原创工艺与配方储备持续积累厚植。</w:t>
      </w:r>
    </w:p>
    <w:p>
      <w:pPr>
        <w:spacing w:lineRule="exact" w:line="600" w:after="0"/>
        <w:ind w:firstLine="420"/>
      </w:pPr>
      <w:r>
        <w:rPr>
          <w:rFonts w:ascii="仿宋_GB2312" w:hAnsi="仿宋_GB2312" w:eastAsia="仿宋_GB2312"/>
          <w:b w:val="0"/>
          <w:sz w:val="32"/>
        </w:rPr>
        <w:t>集群拥有省级以上企业技术中心、工业设计中心等创新平台十四个，市级以上工业互联网示范项目十三个，创新载体供给较为丰富，支撑企业持续技改。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研发投入的稳步增长与强度提升为集群整体创新能力跃升提供了坚实基础支撑，创新策源功能不断增强，新材料原创工艺与配方储备持续积累。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改性配方、复合材料工艺、专用料牌号等为主，高新技术企业五十家构成创新主力，专利与成果产出保持稳定增长态势。创新产出的持续积累与转化应用正逐步转化为企业可感知的差异化竞争优势，产品迭代速度明显加快，在汽车轻量化与家电材料等细分领域形成特色优势。创新产出的持续积累与转化应用正逐步转化为企业可感知的差异化竞争优势，产品迭代速度明显加快，在汽车轻量化与家电材料等细分领域形成特色优势。</w:t>
      </w:r>
    </w:p>
    <w:p>
      <w:pPr>
        <w:spacing w:lineRule="exact" w:line="600" w:after="0"/>
        <w:ind w:firstLine="420"/>
      </w:pPr>
      <w:r>
        <w:rPr>
          <w:rFonts w:ascii="仿宋_GB2312" w:hAnsi="仿宋_GB2312" w:eastAsia="仿宋_GB2312"/>
          <w:b w:val="0"/>
          <w:sz w:val="32"/>
        </w:rPr>
        <w:t>创新产出的持续积累与转化应用正逐步转化为企业可感知的差异化竞争优势，产品迭代速度明显加快，在汽车轻量化、家电材料等领域形成特色优势。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山东省高端品牌培育示范企业七家的认定，反映出集群在质量信誉与品牌建设方面的创新成效，创新成果的市场化、品牌化水平同步提升。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建成省级以上企业技术中心、工业设计中心等创新平台十四个，并拥有市级以上工业互联网示范项目十三个，多层次平台体系初步成型。多层次平台体系的搭建与共享共用显著降低了中小企业获取先进能力的创新门槛，协同攻关与共性技术研发能力稳步增强，整体创新效率得到有效提升。多层次平台体系的搭建与共享共用显著降低了中小企业获取先进能力的创新门槛，协同攻关与共性技术研发能力稳步增强，整体创新效率得到有效提升。</w:t>
      </w:r>
    </w:p>
    <w:p>
      <w:pPr>
        <w:spacing w:lineRule="exact" w:line="600" w:after="0"/>
        <w:ind w:firstLine="420"/>
      </w:pPr>
      <w:r>
        <w:rPr>
          <w:rFonts w:ascii="仿宋_GB2312" w:hAnsi="仿宋_GB2312" w:eastAsia="仿宋_GB2312"/>
          <w:b w:val="0"/>
          <w:sz w:val="32"/>
        </w:rPr>
        <w:t>国恩股份国家企业技术中心等高端平台面向产业链开放共享，显著降低了中小企业获取先进能力的创新门槛，协同攻关与共性技术研发能力稳步增强。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多层次平台体系的搭建与共享共用，有效打通了从实验室到生产线的关键环节，使中小企业能够以较低成本接入高水平创新资源，整体创新效率提升。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依托工业互联网示范项目与龙头企业中试能力，推动改性材料、复合材料等成果快速工程化，技术转化通道较为顺畅，产学研衔接机制逐步健全。顺畅的成果转化通道与产学研衔接机制使集群创新成果更快转化为现实产业生产力与经济效益，新材料产品从样品到商品的迭代周期明显缩短。顺畅的成果转化通道与产学研衔接机制使集群创新成果更快转化为现实产业生产力与经济效益，新材料产品从样品到商品的迭代周期明显缩短。</w:t>
      </w:r>
    </w:p>
    <w:p>
      <w:pPr>
        <w:spacing w:lineRule="exact" w:line="600" w:after="0"/>
        <w:ind w:firstLine="420"/>
      </w:pPr>
      <w:r>
        <w:rPr>
          <w:rFonts w:ascii="仿宋_GB2312" w:hAnsi="仿宋_GB2312" w:eastAsia="仿宋_GB2312"/>
          <w:b w:val="0"/>
          <w:sz w:val="32"/>
        </w:rPr>
        <w:t>顺畅的成果转化通道与产学研衔接机制，使集群创新成果能够更快转化为现实的产业生产力与经济效益，新材料产品迭代周期明显缩短。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下一步应进一步强化中试熟化、检验检测与标准制定等转化服务供给，缩短从样品到商品的周期，提升创新成果对集群产值与效益的实际贡献度。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城阳区制造业基础雄厚，拥有数量可观的产业工人与技术人才，为橡塑材料集群持续扩张提供了稳定而训练有素的劳动力供给，技能型人才培养需持续加强。稳定而训练有素的劳动力供给是集群持续扩张与保持制造能力的重要基础条件，技能型人才培养与工匠精神培育须与产业升级步伐同向同步推进。稳定而训练有素的劳动力供给是集群持续扩张与保持制造能力的重要基础条件，技能型人才培养与工匠精神培育须与产业升级步伐同向同步推进。</w:t>
      </w:r>
    </w:p>
    <w:p>
      <w:pPr>
        <w:spacing w:lineRule="exact" w:line="600" w:after="0"/>
        <w:ind w:firstLine="420"/>
      </w:pPr>
      <w:r>
        <w:rPr>
          <w:rFonts w:ascii="仿宋_GB2312" w:hAnsi="仿宋_GB2312" w:eastAsia="仿宋_GB2312"/>
          <w:b w:val="0"/>
          <w:sz w:val="32"/>
        </w:rPr>
        <w:t>龙头企业与高校、职业院校合作开展定向培养，高分子材料、模具、自动化等专业人才供给相对稳定，支撑了改性塑料与复合材料制造的工艺需求。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稳定而训练有素的劳动力供给是集群持续扩张与保持制造能力的重要基础条件，技能型人才培养与工匠精神培育须与产业升级同步推进。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多元，两家上市公司借助A股与H股资本市场拓宽融资通道，银行信贷、产业基金与社会资本共同支撑企业扩产、技改与研发活动。多元资本供给与融资渠道的拓展为集群扩产、技改与研发提供了较为坚实的资金保障，产融结合逐步深化，但中小企业融资可得性仍须进一步改善。多元资本供给与融资渠道的拓展为集群扩产、技改与研发提供了较为坚实的资金保障，产融结合逐步深化，但中小企业融资可得性仍须进一步改善。</w:t>
      </w:r>
    </w:p>
    <w:p>
      <w:pPr>
        <w:spacing w:lineRule="exact" w:line="600" w:after="0"/>
        <w:ind w:firstLine="420"/>
      </w:pPr>
      <w:r>
        <w:rPr>
          <w:rFonts w:ascii="仿宋_GB2312" w:hAnsi="仿宋_GB2312" w:eastAsia="仿宋_GB2312"/>
          <w:b w:val="0"/>
          <w:sz w:val="32"/>
        </w:rPr>
        <w:t>多元资本供给与融资渠道的拓展，为集群扩产、技改与研发提供了较为坚实的资金保障，产融结合逐步深化，龙头企业的资本聚合效应辐射配套企业。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随着企业上市与再融资能力增强，资本要素对创新的支撑作用更加突出，但中小企业融资难问题仍存，需进一步完善梯度化的金融配套服务体系。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以园区化、集约化方式布局，土地利用效率较高，单位产出强度在城阳区制造业中居于前列，集约用地导向明确，发展方式较为集约。集约用地与低碳转型并重是集群要素保障不可偏离的必然方向，须强化能耗双控与循环经济，推动橡塑材料向绿色化、可降解方向升级发展。集约用地与低碳转型并重是集群要素保障不可偏离的必然方向，须强化能耗双控与循环经济，推动橡塑材料向绿色化、可降解方向升级发展。</w:t>
      </w:r>
    </w:p>
    <w:p>
      <w:pPr>
        <w:spacing w:lineRule="exact" w:line="600" w:after="0"/>
        <w:ind w:firstLine="420"/>
      </w:pPr>
      <w:r>
        <w:rPr>
          <w:rFonts w:ascii="仿宋_GB2312" w:hAnsi="仿宋_GB2312" w:eastAsia="仿宋_GB2312"/>
          <w:b w:val="0"/>
          <w:sz w:val="32"/>
        </w:rPr>
        <w:t>橡塑材料生产涉及能耗与环保约束，集群推动绿色化、数字化转型，单位能耗产出与绿色发展水平须同步提升，低碳转型是不可偏离的必然方向。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集约用地与低碳转型并重是集群要素保障不可偏离的必然方向，须强化能耗双控与循环经济，推动橡塑材料向绿色、可降解方向升级发展。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上游原料以石化基树脂、单体及助剂为主，部分高端专用料依赖外部采购，原材料保障与供应链韧性直接关系到集群的成本安全与平稳运行。稳定可靠的原材料保障与供应链韧性直接关系到集群的成本安全与平稳运行，须强化战略储备、多元供给与替代料研发，切实增强抗风险能力。稳定可靠的原材料保障与供应链韧性直接关系到集群的成本安全与平稳运行，须强化战略储备、多元供给与替代料研发，切实增强抗风险能力。</w:t>
      </w:r>
    </w:p>
    <w:p>
      <w:pPr>
        <w:spacing w:lineRule="exact" w:line="600" w:after="0"/>
        <w:ind w:firstLine="420"/>
      </w:pPr>
      <w:r>
        <w:rPr>
          <w:rFonts w:ascii="仿宋_GB2312" w:hAnsi="仿宋_GB2312" w:eastAsia="仿宋_GB2312"/>
          <w:b w:val="0"/>
          <w:sz w:val="32"/>
        </w:rPr>
        <w:t>龙头企业通过纵向一体化布局绿色石化与改性环节，增强了关键原料的自主保障能力，但通用料价格受大宗市场波动影响，成本传导压力仍需关注。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稳定可靠的原材料保障与供应链韧性直接关系到集群的成本安全与平稳运行，须强化战略储备、多元供给与替代料研发，增强抗风险能力。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广泛应用于汽车、家电、轨道交通、绿色建筑与大健康等国内优势产业，内需基本盘稳固，为应对外部不确定性提供了重要的战略纵深。稳固的国内基本盘与广阔的内需空间为集群应对外部不确定性提供了重要的战略纵深，内循环支撑作用突出，国内市场份额保持稳中有进的态势。稳固的国内基本盘与广阔的内需空间为集群应对外部不确定性提供了重要的战略纵深，内循环支撑作用突出，国内市场份额保持稳中有进的态势。</w:t>
      </w:r>
    </w:p>
    <w:p>
      <w:pPr>
        <w:spacing w:lineRule="exact" w:line="600" w:after="0"/>
        <w:ind w:firstLine="420"/>
      </w:pPr>
      <w:r>
        <w:rPr>
          <w:rFonts w:ascii="仿宋_GB2312" w:hAnsi="仿宋_GB2312" w:eastAsia="仿宋_GB2312"/>
          <w:b w:val="0"/>
          <w:sz w:val="32"/>
        </w:rPr>
        <w:t>稳固的国内基本盘与广阔的内需空间为集群应对外部不确定性提供了重要的战略纵深，内循环支撑作用突出，国内市场份额保持稳中有进。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随着新能源汽车轻量化与家电升级需求释放，改性塑料与复合材料国内需求持续增长，集群企业就近配套下游龙头整机厂，市场响应速度较快。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部分橡塑制品与材料具备出口能力，依托青岛港口优势参与国际分工，出口结构正从通用制品向高附加值改性材料、复合材料逐步优化升级。出口结构的优化升级正推动集群从单纯产品出海走向综合能力出海，国际市场份额与话语权稳步提升，但高端市场突破仍面临技术与认证方面壁垒。出口结构的优化升级正推动集群从单纯产品出海走向综合能力出海，国际市场份额与话语权稳步提升，但高端市场突破仍面临技术与认证方面壁垒。</w:t>
      </w:r>
    </w:p>
    <w:p>
      <w:pPr>
        <w:spacing w:lineRule="exact" w:line="600" w:after="0"/>
        <w:ind w:firstLine="420"/>
      </w:pPr>
      <w:r>
        <w:rPr>
          <w:rFonts w:ascii="仿宋_GB2312" w:hAnsi="仿宋_GB2312" w:eastAsia="仿宋_GB2312"/>
          <w:b w:val="0"/>
          <w:sz w:val="32"/>
        </w:rPr>
        <w:t>出口结构的优化升级正推动集群从单纯产品出海走向综合能力出海，国际市场份额与话语权稳步提升，但高端市场突破仍面临技术与认证壁垒。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应继续发挥青岛开放枢纽优势，支持企业取得国际认证、布局海外渠道，推动橡塑材料以技术、品牌、标准协同走向更广阔的国际市场。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拥有山东省高端品牌培育示范企业七家，国恩股份等骨干企业品牌影响力持续提升，自主品牌培育步伐明显加快，质量信誉不断增强。品牌影响力的提升有助于集群在价值链中获取更高的价值溢价，龙头企业以一体两翼战略塑造材料整体解决方案品牌，带动配套企业协同创牌。品牌影响力的提升有助于集群在价值链中获取更高的价值溢价，龙头企业以一体两翼战略塑造材料整体解决方案品牌，带动配套企业协同创牌。</w:t>
      </w:r>
    </w:p>
    <w:p>
      <w:pPr>
        <w:spacing w:lineRule="exact" w:line="600" w:after="0"/>
        <w:ind w:firstLine="420"/>
      </w:pPr>
      <w:r>
        <w:rPr>
          <w:rFonts w:ascii="仿宋_GB2312" w:hAnsi="仿宋_GB2312" w:eastAsia="仿宋_GB2312"/>
          <w:b w:val="0"/>
          <w:sz w:val="32"/>
        </w:rPr>
        <w:t>品牌影响力的提升有助于集群在价值链中获取更高的价值溢价，龙头企业以一体两翼战略塑造材料整体解决方案品牌，带动配套企业协同创牌。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下一步应强化区域集群品牌与企业自主品牌的双轮驱动，提升青岛城阳橡塑材料在国内外市场的辨识度与美誉度，增强溢价能力。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轻量化、绿色化、功能化趋势，新能源汽车、可降解材料、医用高分子等新兴需求快速成长，为集群产品结构调整提供了明确方向。准确把握需求端的结构性变化与消费趋势是集群保持市场敏锐度与快速响应能力的重要前提，须动态跟踪下游应用迭代节奏，以需求牵引供给。准确把握需求端的结构性变化与消费趋势是集群保持市场敏锐度与快速响应能力的重要前提，须动态跟踪下游应用迭代节奏，以需求牵引供给。</w:t>
      </w:r>
    </w:p>
    <w:p>
      <w:pPr>
        <w:spacing w:lineRule="exact" w:line="600" w:after="0"/>
        <w:ind w:firstLine="420"/>
      </w:pPr>
      <w:r>
        <w:rPr>
          <w:rFonts w:ascii="仿宋_GB2312" w:hAnsi="仿宋_GB2312" w:eastAsia="仿宋_GB2312"/>
          <w:b w:val="0"/>
          <w:sz w:val="32"/>
        </w:rPr>
        <w:t>准确把握需求端的结构性变化与消费趋势，是集群保持市场敏锐度与快速响应能力的重要前提，须动态跟踪下游应用迭代节奏。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面向低碳与智能化需求，集群应加快布局生物基、可降解及轻量化复合材料，以需求牵引供给，实现产品体系与市场需求的高水平动态匹配。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橡塑材料集群竞争激烈，长三角、珠三角在高端专用料与工程塑料领域优势明显，城阳集群需在差异化、特色化赛道上扬长避短、错位发展。在区域竞合中扬长避短、错位发展是巩固并扩大集群既有优势的现实选择，应避免低水平重复与恶性竞争，聚焦改性塑料与复合材料优势环节。在区域竞合中扬长避短、错位发展是巩固并扩大集群既有优势的现实选择，应避免低水平重复与恶性竞争，聚焦改性塑料与复合材料优势环节。</w:t>
      </w:r>
    </w:p>
    <w:p>
      <w:pPr>
        <w:spacing w:lineRule="exact" w:line="600" w:after="0"/>
        <w:ind w:firstLine="420"/>
      </w:pPr>
      <w:r>
        <w:rPr>
          <w:rFonts w:ascii="仿宋_GB2312" w:hAnsi="仿宋_GB2312" w:eastAsia="仿宋_GB2312"/>
          <w:b w:val="0"/>
          <w:sz w:val="32"/>
        </w:rPr>
        <w:t>在区域竞合中扬长避短、错位发展是巩固并扩大集群既有优势的现实选择，应避免低水平重复与恶性竞争，聚焦改性塑料与复合材料优势环节。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依托青岛区位、港口与制造生态，集群可在北方市场与日韩合作中构筑比较优势，与胶州智慧家居、即墨汽车等周边集群形成协同而非同质竞争。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正视并厘清内部存在的突出问题，是集群迈向高质量发展的首要步骤与前提，精准施策方能行稳致远，当前短板集中在高端环节与创新能力。正视并厘清内部存在的突出问题是集群迈向高质量发展的首要步骤与前提，精准施策方能行稳致远，当前短板主要集中在高端环节与创新能力。正视并厘清内部存在的突出问题是集群迈向高质量发展的首要步骤与前提，精准施策方能行稳致远，当前短板主要集中在高端环节与创新能力。</w:t>
      </w:r>
    </w:p>
    <w:p>
      <w:pPr>
        <w:spacing w:lineRule="exact" w:line="600" w:after="0"/>
        <w:ind w:firstLine="420"/>
      </w:pPr>
      <w:r>
        <w:rPr>
          <w:rFonts w:ascii="仿宋_GB2312" w:hAnsi="仿宋_GB2312" w:eastAsia="仿宋_GB2312"/>
          <w:b w:val="0"/>
          <w:sz w:val="32"/>
        </w:rPr>
        <w:t>部分中小企业产品同质化、附加值偏低，创新投入与人才储备不足，公共服务向中小企业覆盖不够充分，制约了集群整体竞争力的均衡提升。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需以系统思维统筹解决结构性与素质性矛盾，推动中小企业专精特新发展，强化平台普惠供给，补齐从研发到市场的若干关键薄弱节点。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大宗石化原料价格波动、国际贸易壁垒与绿色贸易规制趋严，给集群成本与出口带来不确定性，健全风险预警与对冲机制至关重要。健全风险预警与对冲机制、提升供应链韧性关乎集群运行的稳定性与长期安全性，须增强底线思维，强化原料多元供给与替代技术战略储备。健全风险预警与对冲机制、提升供应链韧性关乎集群运行的稳定性与长期安全性，须增强底线思维，强化原料多元供给与替代技术战略储备。</w:t>
      </w:r>
    </w:p>
    <w:p>
      <w:pPr>
        <w:spacing w:lineRule="exact" w:line="600" w:after="0"/>
        <w:ind w:firstLine="420"/>
      </w:pPr>
      <w:r>
        <w:rPr>
          <w:rFonts w:ascii="仿宋_GB2312" w:hAnsi="仿宋_GB2312" w:eastAsia="仿宋_GB2312"/>
          <w:b w:val="0"/>
          <w:sz w:val="32"/>
        </w:rPr>
        <w:t>健全风险预警与对冲机制、提升供应链韧性关乎集群运行的稳定性与长期安全性，须增强底线思维，强化原料多元与替代技术储备。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应密切关注全球产业链重构与碳关税等外部约束，引导企业提升合规与绿色制造能力，以韧性建设对冲周期与地缘层面的多重风险。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中小企业特色产业集群政策的持续赋能，为城阳橡塑材料集群明确了发展方向、路径与制度保障，政策红利在十四五期间逐步释放。顶层政策的持续赋能与方向指引为集群升级明确了发展路径、重点任务与制度保障，国家层面认定与管理机制强化了集群的品牌公信力。顶层政策的持续赋能与方向指引为集群升级明确了发展路径、重点任务与制度保障，国家层面认定与管理机制强化了集群的品牌公信力。</w:t>
      </w:r>
    </w:p>
    <w:p>
      <w:pPr>
        <w:spacing w:lineRule="exact" w:line="600" w:after="0"/>
        <w:ind w:firstLine="420"/>
      </w:pPr>
      <w:r>
        <w:rPr>
          <w:rFonts w:ascii="仿宋_GB2312" w:hAnsi="仿宋_GB2312" w:eastAsia="仿宋_GB2312"/>
          <w:b w:val="0"/>
          <w:sz w:val="32"/>
        </w:rPr>
        <w:t>顶层政策的持续赋能与方向指引为集群升级明确了发展路径、重点任务与制度保障，国家层面认定与管理机制强化了集群的品牌公信力。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应紧抓国家中小企业特色产业集群与先进制造业集群政策机遇，主动对接国家新材料产业发展导向，争取在专项、试点与平台方面获得支持。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城阳区坚持政府引导与市场主导相结合，精准定位主导产业，有针对性地固链强链补链延链，精准有力的地方扶持降低了企业转型成本。精准有力的地方扶持举措有效降低了企业转型升级的试错成本与制度成本，营商环境持续优化改善，对龙头企业与专精特新企业给予重点支持。精准有力的地方扶持举措有效降低了企业转型升级的试错成本与制度成本，营商环境持续优化改善，对龙头企业与专精特新企业给予重点支持。</w:t>
      </w:r>
    </w:p>
    <w:p>
      <w:pPr>
        <w:spacing w:lineRule="exact" w:line="600" w:after="0"/>
        <w:ind w:firstLine="420"/>
      </w:pPr>
      <w:r>
        <w:rPr>
          <w:rFonts w:ascii="仿宋_GB2312" w:hAnsi="仿宋_GB2312" w:eastAsia="仿宋_GB2312"/>
          <w:b w:val="0"/>
          <w:sz w:val="32"/>
        </w:rPr>
        <w:t>精准有力的地方扶持举措有效降低了企业转型升级的试错成本与制度成本，营商环境持续优化改善，对龙头企业与专精特新企业给予重点支持。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地方应进一步完善梯度培育、技改奖补、上市服务与用地能耗保障等政策工具箱，以精准滴灌提升政策实效，激发各类市场主体活力。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拥有产品质量检验检测、工业互联网示范项目等公共配套，完善的公共配套正从底层重塑并优化集群整体的产业发展生态，要素流动更高效。完善的公共配套正从底层重塑并优化集群整体的产业发展生态，城阳区工业互联网与检验检测供给日趋完善，为中小企业转型提供低成本支撑。完善的公共配套正从底层重塑并优化集群整体的产业发展生态，城阳区工业互联网与检验检测供给日趋完善，为中小企业转型提供低成本支撑。</w:t>
      </w:r>
    </w:p>
    <w:p>
      <w:pPr>
        <w:spacing w:lineRule="exact" w:line="600" w:after="0"/>
        <w:ind w:firstLine="420"/>
      </w:pPr>
      <w:r>
        <w:rPr>
          <w:rFonts w:ascii="仿宋_GB2312" w:hAnsi="仿宋_GB2312" w:eastAsia="仿宋_GB2312"/>
          <w:b w:val="0"/>
          <w:sz w:val="32"/>
        </w:rPr>
        <w:t>城阳区建成市级以上工业互联网示范项目十三个，检验检测公共服务日趋完善，为中小企业数字化转型与质量提升提供了低成本的公共支撑。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应继续强化中试、检测、标准、物流与工业互联网等公共配套供给，提升园区综合服务水平，以优质生态增强集群对企业与人才的吸引力。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信息互通、标准制定、供需对接与行业自律方面发挥桥梁纽带作用，有助于提升集群协同治理的整体效率，促进行业有序发展。行业协会的桥梁纽带与自治协调作用有助于提升集群协同治理的整体效率，促进大中小企业融通与产学研协同，规范市场竞争秩序。行业协会的桥梁纽带与自治协调作用有助于提升集群协同治理的整体效率，促进大中小企业融通与产学研协同，规范市场竞争秩序。</w:t>
      </w:r>
    </w:p>
    <w:p>
      <w:pPr>
        <w:spacing w:lineRule="exact" w:line="600" w:after="0"/>
        <w:ind w:firstLine="420"/>
      </w:pPr>
      <w:r>
        <w:rPr>
          <w:rFonts w:ascii="仿宋_GB2312" w:hAnsi="仿宋_GB2312" w:eastAsia="仿宋_GB2312"/>
          <w:b w:val="0"/>
          <w:sz w:val="32"/>
        </w:rPr>
        <w:t>行业协会的桥梁纽带与自治协调作用有助于提升集群协同治理的整体效率，促进大中小企业融通与产学研协同，规范市场竞争秩序。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应支持行业协会在统计监测、人才培训、展会对接与国际合作中积极作为，将其打造为政府与市场之间的高效协同治理节点。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2021年集群主导产业产值达一百四十六亿元、增长百分之三十点四，带动城阳区新材料产业链营收突破四百亿元，经济贡献度显著。显著的经济效应与税收贡献彰显了集群对区域经济增长的支撑价值与贡献度，是稳增长的重要引擎，也是城阳制造业高质量发展的关键支撑。显著的经济效应与税收贡献彰显了集群对区域经济增长的支撑价值与贡献度，是稳增长的重要引擎，也是城阳制造业高质量发展的关键支撑。</w:t>
      </w:r>
    </w:p>
    <w:p>
      <w:pPr>
        <w:spacing w:lineRule="exact" w:line="600" w:after="0"/>
        <w:ind w:firstLine="420"/>
      </w:pPr>
      <w:r>
        <w:rPr>
          <w:rFonts w:ascii="仿宋_GB2312" w:hAnsi="仿宋_GB2312" w:eastAsia="仿宋_GB2312"/>
          <w:b w:val="0"/>
          <w:sz w:val="32"/>
        </w:rPr>
        <w:t>显著的经济效应与税收贡献彰显了集群对区域经济增长的支撑价值与贡献度，是稳增长的重要引擎，也是城阳制造业高质量发展的关键支撑。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随着国恩集团等骨干企业营收突破两百亿元，集群对区级财政与上下游拉动效应持续增强，成为区域实体经济稳健运行的重要压舱石。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九十余家企业吸纳了大量产业工人与技术研发人员，突出的就业效应体现了其在稳就业、保民生方面的社会功能，惠及广大城乡群众。突出的就业效应体现了集群在稳就业、保民生方面的社会功能，从原料改性到制品制造的完整链条创造了多层次就业岗位，惠及广大城乡群众。突出的就业效应体现了集群在稳就业、保民生方面的社会功能，从原料改性到制品制造的完整链条创造了多层次就业岗位，惠及广大城乡群众。</w:t>
      </w:r>
    </w:p>
    <w:p>
      <w:pPr>
        <w:spacing w:lineRule="exact" w:line="600" w:after="0"/>
        <w:ind w:firstLine="420"/>
      </w:pPr>
      <w:r>
        <w:rPr>
          <w:rFonts w:ascii="仿宋_GB2312" w:hAnsi="仿宋_GB2312" w:eastAsia="仿宋_GB2312"/>
          <w:b w:val="0"/>
          <w:sz w:val="32"/>
        </w:rPr>
        <w:t>从原材料改性到制品制造的完整链条创造了多层次就业岗位，技术研发、质量检测、装备制造等环节带动高素质人才集聚与本地就业。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就业效应与富民带动能力突出，集群发展使更多城乡居民实现就近稳定就业，对城阳区常住人口城镇化与收入水平提升发挥了积极作用。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正向的溢出效应使集群成为带动区域产业能级整体跃升的强劲引擎，新材料与轨道交通、汽车、家电等产业就近协同，辐射范围不断扩大。正向的溢出效应使集群成为带动区域产业能级整体跃升的强劲引擎，龙头企业的纵向一体化平台向配套企业外溢技术、订单与管理经验。正向的溢出效应使集群成为带动区域产业能级整体跃升的强劲引擎，龙头企业的纵向一体化平台向配套企业外溢技术、订单与管理经验。</w:t>
      </w:r>
    </w:p>
    <w:p>
      <w:pPr>
        <w:spacing w:lineRule="exact" w:line="600" w:after="0"/>
        <w:ind w:firstLine="420"/>
      </w:pPr>
      <w:r>
        <w:rPr>
          <w:rFonts w:ascii="仿宋_GB2312" w:hAnsi="仿宋_GB2312" w:eastAsia="仿宋_GB2312"/>
          <w:b w:val="0"/>
          <w:sz w:val="32"/>
        </w:rPr>
        <w:t>龙头企业的纵向一体化平台向配套企业外溢技术、订单与管理经验，带动了城阳乃至青岛北部制造业整体能力的跃升，正向溢出明显。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集群的品牌与生态溢出还吸引资本、人才与项目集聚，形成以橡塑材料为支点、带动新材料产业全面发展的区域增长极效应。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兼顾经济、绿色与协调导向，推动园区绿色化数字化改造，多元的社会效应与生态效益反映了发展的综合导向，惠及面持续拓展。多元的社会效应与生态效益反映了集群发展兼顾经济、绿色与协调的综合导向，对城阳区城市功能提升、产城融合与民生改善贡献逐步显现。多元的社会效应与生态效益反映了集群发展兼顾经济、绿色与协调的综合导向，对城阳区城市功能提升、产城融合与民生改善贡献逐步显现。</w:t>
      </w:r>
    </w:p>
    <w:p>
      <w:pPr>
        <w:spacing w:lineRule="exact" w:line="600" w:after="0"/>
        <w:ind w:firstLine="420"/>
      </w:pPr>
      <w:r>
        <w:rPr>
          <w:rFonts w:ascii="仿宋_GB2312" w:hAnsi="仿宋_GB2312" w:eastAsia="仿宋_GB2312"/>
          <w:b w:val="0"/>
          <w:sz w:val="32"/>
        </w:rPr>
        <w:t>在稳就业、强产业的同时，集群通过绿色制造与循环经济降低环境负荷，社会效应正向，体现了特色产业服务区域协调与可持续发展的取向。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随着公共服务与营商环境改善，集群对城阳区城市功能提升、产城融合与民生改善的综合贡献逐步显现，发展成果惠及面进一步扩大。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系统梳理并归纳现存问题，为后续精准施策提供了清晰而具体的靶向，有利于集中力量破解关键瓶颈制约，当前矛盾集中于高端环节偏弱。系统梳理并归纳现存问题为后续精准施策提供了清晰而具体的靶向，有利于集中力量破解关键瓶颈制约，当前矛盾集中于高端环节偏弱。系统梳理并归纳现存问题为后续精准施策提供了清晰而具体的靶向，有利于集中力量破解关键瓶颈制约，当前矛盾集中于高端环节偏弱。</w:t>
      </w:r>
    </w:p>
    <w:p>
      <w:pPr>
        <w:spacing w:lineRule="exact" w:line="600" w:after="0"/>
        <w:ind w:firstLine="420"/>
      </w:pPr>
      <w:r>
        <w:rPr>
          <w:rFonts w:ascii="仿宋_GB2312" w:hAnsi="仿宋_GB2312" w:eastAsia="仿宋_GB2312"/>
          <w:b w:val="0"/>
          <w:sz w:val="32"/>
        </w:rPr>
        <w:t>集群虽规模可观、链条完整，但高端专用料与原创工艺供给不足、中小企业同质化、公共服务普惠性有待提升等结构性问题仍较突出。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面向高质量发展要求，须以问题导向厘清短板清单，区分龙头企业引领与中小企业培育两类路径，形成靶向清晰、可落地的整改提升方案。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明确的补链强链延链路径与重点项目构成了集群升级较为完整的行动蓝图，应向上游高端专用料、下游高值复合材料制品双向延伸。明确的补链强链延链路径与重点项目构成了集群升级较为完整的行动蓝图，应向上游高端专用料、下游高值复合材料制品双向延伸。明确的补链强链延链路径与重点项目构成了集群升级较为完整的行动蓝图，应向上游高端专用料、下游高值复合材料制品双向延伸。</w:t>
      </w:r>
    </w:p>
    <w:p>
      <w:pPr>
        <w:spacing w:lineRule="exact" w:line="600" w:after="0"/>
        <w:ind w:firstLine="420"/>
      </w:pPr>
      <w:r>
        <w:rPr>
          <w:rFonts w:ascii="仿宋_GB2312" w:hAnsi="仿宋_GB2312" w:eastAsia="仿宋_GB2312"/>
          <w:b w:val="0"/>
          <w:sz w:val="32"/>
        </w:rPr>
        <w:t>补链重点在特种工程塑料、关键助剂与可降解材料，强链重在合成改性与复合材料工艺，延链重在汽车轻量化、医用高分子等高值应用。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应围绕龙头企业纵向一体化平台布局配套项目，推动上下游协同招商，形成从原料到整体解决方案的完整高值链条，提升整体竞争力。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梯次化的企业培育与精准服务有助于进一步夯实集群高质量发展的主体根基，应构建专精特新、小巨人到上市公司的成长梯队。梯次化的企业培育与精准服务有助于进一步夯实集群高质量发展的主体根基，应构建从专精特新、小巨人到上市公司的成长梯队。梯次化的企业培育与精准服务有助于进一步夯实集群高质量发展的主体根基，应构建从专精特新、小巨人到上市公司的成长梯队。</w:t>
      </w:r>
    </w:p>
    <w:p>
      <w:pPr>
        <w:spacing w:lineRule="exact" w:line="600" w:after="0"/>
        <w:ind w:firstLine="420"/>
      </w:pPr>
      <w:r>
        <w:rPr>
          <w:rFonts w:ascii="仿宋_GB2312" w:hAnsi="仿宋_GB2312" w:eastAsia="仿宋_GB2312"/>
          <w:b w:val="0"/>
          <w:sz w:val="32"/>
        </w:rPr>
        <w:t>建议实施分类培育：支持国恩股份等龙头全球布局，引导中小企业向专精特新聚焦，壮大瞪羚与独角兽后备力量，优化企业规模结构。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lineRule="exact" w:line="600" w:after="0"/>
        <w:ind w:firstLine="420"/>
      </w:pPr>
      <w:r>
        <w:rPr>
          <w:rFonts w:ascii="仿宋_GB2312" w:hAnsi="仿宋_GB2312" w:eastAsia="仿宋_GB2312"/>
          <w:b w:val="0"/>
          <w:sz w:val="32"/>
        </w:rPr>
        <w:t>应完善上市挂牌、并购重组与产学研对接服务，推动中小企业抱团提升，以企业群体质效的整体跃升夯实集群发展根基。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以创新提升为牵引可切实增强集群内生驱动与可持续发展动力，应支持国家企业技术中心开放共享，强化共性技术研发与中试熟化。以创新提升为牵引可切实增强集群内生驱动与可持续的发展动力，应支持国家企业技术中心开放共享，强化共性技术研发与中试熟化。以创新提升为牵引可切实增强集群内生驱动与可持续的发展动力，应支持国家企业技术中心开放共享，强化共性技术研发与中试熟化。</w:t>
      </w:r>
    </w:p>
    <w:p>
      <w:pPr>
        <w:spacing w:lineRule="exact" w:line="600" w:after="0"/>
        <w:ind w:firstLine="420"/>
      </w:pPr>
      <w:r>
        <w:rPr>
          <w:rFonts w:ascii="仿宋_GB2312" w:hAnsi="仿宋_GB2312" w:eastAsia="仿宋_GB2312"/>
          <w:b w:val="0"/>
          <w:sz w:val="32"/>
        </w:rPr>
        <w:t>建议加大新材料原创工艺与专用料配方攻关，布局概念验证与中试基地，畅通产学研转化通道，加快新旧动能转换步伐。把握上述若干关键变量是提升集群精细化治理效能与整体运行效率的重要前提所在，治理现代化亟待提速，以高效服务护航企业行稳致远。把握上述若干关键变量是提升集群精细化治理效能与整体运行效率的重要前提所在，治理现代化亟待提速，以高效服务护航企业行稳致远。</w:t>
      </w:r>
    </w:p>
    <w:p>
      <w:pPr>
        <w:spacing w:lineRule="exact" w:line="600" w:after="0"/>
        <w:ind w:firstLine="420"/>
      </w:pPr>
      <w:r>
        <w:rPr>
          <w:rFonts w:ascii="仿宋_GB2312" w:hAnsi="仿宋_GB2312" w:eastAsia="仿宋_GB2312"/>
          <w:b w:val="0"/>
          <w:sz w:val="32"/>
        </w:rPr>
        <w:t>应推动工业互联网与智能制造深度融合，以数字化研发与柔性制造提升创新效率，使创新真正成为集群价值攀升的核心引擎。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坚实的要素保障与高效配置是集群实现高质量、可持续发展的重要前置条件，须强化全要素协同支撑，破解用地能耗与人才瓶颈。坚实的要素保障与高效配置是集群实现高质量、可持续发展的重要前置条件，须强化全要素协同支撑，破解用地能耗与人才瓶颈。坚实的要素保障与高效配置是集群实现高质量、可持续发展的重要前置条件，须强化全要素协同支撑，破解用地能耗与人才瓶颈。</w:t>
      </w:r>
    </w:p>
    <w:p>
      <w:pPr>
        <w:spacing w:lineRule="exact" w:line="600" w:after="0"/>
        <w:ind w:firstLine="420"/>
      </w:pPr>
      <w:r>
        <w:rPr>
          <w:rFonts w:ascii="仿宋_GB2312" w:hAnsi="仿宋_GB2312" w:eastAsia="仿宋_GB2312"/>
          <w:b w:val="0"/>
          <w:sz w:val="32"/>
        </w:rPr>
        <w:t>建议统筹土地集约利用与能耗双控，保障优质项目落地；完善产融对接，缓解中小企业融资难；加强技能人才定向培养与引进。上述特征的持续强化与固化可为区域产业整体能级跃升提供稳定而持久的动能支撑，厚植长远竞争优势，使城阳橡塑材料集群更具韧性与活力。上述特征的持续强化与固化可为区域产业整体能级跃升提供稳定而持久的动能支撑，厚植长远竞争优势，使城阳橡塑材料集群更具韧性与活力。</w:t>
      </w:r>
    </w:p>
    <w:p>
      <w:pPr>
        <w:spacing w:lineRule="exact" w:line="600" w:after="0"/>
        <w:ind w:firstLine="420"/>
      </w:pPr>
      <w:r>
        <w:rPr>
          <w:rFonts w:ascii="仿宋_GB2312" w:hAnsi="仿宋_GB2312" w:eastAsia="仿宋_GB2312"/>
          <w:b w:val="0"/>
          <w:sz w:val="32"/>
        </w:rPr>
        <w:t>应建立原材料战略储备与多元供给机制，提升供应链韧性，以全要素高效协同支撑集群在绿色、低碳、安全轨道上稳健运行。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优化的政策供给与治理机制将为集群行稳致远保驾护航，应推动形成政府引导、市场主导的良性格局，提升政策精准度与获得感。优化的政策供给与治理机制将为集群行稳致远保驾护航，应推动形成政府引导、市场主导的良性格局，提升政策精准度与企业获得感。优化的政策供给与治理机制将为集群行稳致远保驾护航，应推动形成政府引导、市场主导的良性格局，提升政策精准度与企业获得感。</w:t>
      </w:r>
    </w:p>
    <w:p>
      <w:pPr>
        <w:spacing w:lineRule="exact" w:line="600" w:after="0"/>
        <w:ind w:firstLine="420"/>
      </w:pPr>
      <w:r>
        <w:rPr>
          <w:rFonts w:ascii="仿宋_GB2312" w:hAnsi="仿宋_GB2312" w:eastAsia="仿宋_GB2312"/>
          <w:b w:val="0"/>
          <w:sz w:val="32"/>
        </w:rPr>
        <w:t>建议健全特色产业集群长效治理机制，强化统计监测与动态评估，完善梯度化政策工具箱，促进大中小企业融通与区域协同。这一态势能否延续，有待政策引导、资本支撑与市场机制三者形成协同发力的合力，各方须同向而行、久久为功，方能巩固集群向好发展局面。这一态势能否延续，有待政策引导、资本支撑与市场机制三者形成协同发力的合力，各方须同向而行、久久为功，方能巩固集群向好发展局面。</w:t>
      </w:r>
    </w:p>
    <w:p>
      <w:pPr>
        <w:spacing w:lineRule="exact" w:line="600" w:after="0"/>
        <w:ind w:firstLine="420"/>
      </w:pPr>
      <w:r>
        <w:rPr>
          <w:rFonts w:ascii="仿宋_GB2312" w:hAnsi="仿宋_GB2312" w:eastAsia="仿宋_GB2312"/>
          <w:b w:val="0"/>
          <w:sz w:val="32"/>
        </w:rPr>
        <w:t>应深化营商环境改革，发挥行业协会与公共服务平台作用，以高水平治理护航城阳橡塑材料集群迈向全国一流特色产业集群。相关短板能否补齐，将直接关乎集群由大向强跨越的最终成色与高质量发展的实际质量，须以系统思维统筹推进，避免单兵突进与碎片化用力。相关短板能否补齐，将直接关乎集群由大向强跨越的最终成色与高质量发展的实际质量，须以系统思维统筹推进，避免单兵突进与碎片化用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城阳区橡塑材料产业集群入围首批国家中小企业特色产业集群（城阳融媒） https://www.toutiao.com/article/7182841183016649251/</w:t>
      </w:r>
    </w:p>
    <w:p>
      <w:pPr>
        <w:spacing w:lineRule="exact" w:line="600" w:after="0"/>
        <w:ind w:firstLine="0"/>
      </w:pPr>
      <w:r>
        <w:rPr>
          <w:rFonts w:ascii="仿宋_GB2312" w:hAnsi="仿宋_GB2312" w:eastAsia="仿宋_GB2312"/>
          <w:b w:val="0"/>
          <w:sz w:val="32"/>
        </w:rPr>
        <w:t>2. 青岛两大产业集群上榜工信部2022年度中小企业特色产业集群名单（观海新闻） https://www.guanhai.com.cn/p/232772.html</w:t>
      </w:r>
    </w:p>
    <w:p>
      <w:pPr>
        <w:spacing w:lineRule="exact" w:line="600" w:after="0"/>
        <w:ind w:firstLine="0"/>
      </w:pPr>
      <w:r>
        <w:rPr>
          <w:rFonts w:ascii="仿宋_GB2312" w:hAnsi="仿宋_GB2312" w:eastAsia="仿宋_GB2312"/>
          <w:b w:val="0"/>
          <w:sz w:val="32"/>
        </w:rPr>
        <w:t>3. 城阳区橡塑材料产业集群入围首批国家中小企业特色产业集群（青岛晚报） https://epaper.qingdaonews.com/qdwb/resfile/2023-01-03/A09/qdwb-20230103-A09.pdf</w:t>
      </w:r>
    </w:p>
    <w:p>
      <w:pPr>
        <w:spacing w:lineRule="exact" w:line="600" w:after="0"/>
        <w:ind w:firstLine="0"/>
      </w:pPr>
      <w:r>
        <w:rPr>
          <w:rFonts w:ascii="仿宋_GB2312" w:hAnsi="仿宋_GB2312" w:eastAsia="仿宋_GB2312"/>
          <w:b w:val="0"/>
          <w:sz w:val="32"/>
        </w:rPr>
        <w:t>4. 2026年城阳区政府工作报告（城阳政务） https://b.15386.cn/a/485943.html</w:t>
      </w:r>
    </w:p>
    <w:p>
      <w:pPr>
        <w:spacing w:lineRule="exact" w:line="600" w:after="0"/>
        <w:ind w:firstLine="0"/>
      </w:pPr>
      <w:r>
        <w:rPr>
          <w:rFonts w:ascii="仿宋_GB2312" w:hAnsi="仿宋_GB2312" w:eastAsia="仿宋_GB2312"/>
          <w:b w:val="0"/>
          <w:sz w:val="32"/>
        </w:rPr>
        <w:t>5. 国恩股份（002768.SZ）公司概况（东方财富） https://emweb.securities.eastmoney.com/PC_HSF10/CompanySurvey/Index?type=web&amp;code=sz002768</w:t>
      </w:r>
    </w:p>
    <w:p>
      <w:pPr>
        <w:spacing w:lineRule="exact" w:line="600" w:after="0"/>
        <w:ind w:firstLine="0"/>
      </w:pPr>
      <w:r>
        <w:rPr>
          <w:rFonts w:ascii="仿宋_GB2312" w:hAnsi="仿宋_GB2312" w:eastAsia="仿宋_GB2312"/>
          <w:b w:val="0"/>
          <w:sz w:val="32"/>
        </w:rPr>
        <w:t>6. 青岛国恩科技股份有限公司企业信息（天眼查） https://www.tianyancha.com/company/864017359/jingzhuang</w:t>
      </w:r>
    </w:p>
    <w:p>
      <w:pPr>
        <w:spacing w:lineRule="exact" w:line="600" w:after="0"/>
        <w:ind w:firstLine="0"/>
      </w:pPr>
      <w:r>
        <w:rPr>
          <w:rFonts w:ascii="仿宋_GB2312" w:hAnsi="仿宋_GB2312" w:eastAsia="仿宋_GB2312"/>
          <w:b w:val="0"/>
          <w:sz w:val="32"/>
        </w:rPr>
        <w:t>7. 青岛国恩科技股份有限公司百科资料（百度百科） https://bk.n.shifen.com/item/%E9%9D%92%E5%B2%9B%E5%9B%BD%E6%81%A9%E7%A7%91%E6%8A%80%E8%82%A1%E4%BB%BD%E6%9C%89%E9%99%90%E5%85%AC%E5%8F%B8/19987449</w:t>
      </w:r>
    </w:p>
    <w:p>
      <w:pPr>
        <w:spacing w:lineRule="exact" w:line="600" w:after="0"/>
        <w:ind w:firstLine="0"/>
      </w:pPr>
      <w:r>
        <w:rPr>
          <w:rFonts w:ascii="仿宋_GB2312" w:hAnsi="仿宋_GB2312" w:eastAsia="仿宋_GB2312"/>
          <w:b w:val="0"/>
          <w:sz w:val="32"/>
        </w:rPr>
        <w:t>8. 国恩股份上市公司信息（华讯） https://m.hx168.com.cn/stock/F10/002768.html</w:t>
      </w:r>
    </w:p>
    <w:p>
      <w:pPr>
        <w:spacing w:lineRule="exact" w:line="600" w:after="0"/>
        <w:ind w:firstLine="0"/>
      </w:pPr>
      <w:r>
        <w:rPr>
          <w:rFonts w:ascii="仿宋_GB2312" w:hAnsi="仿宋_GB2312" w:eastAsia="仿宋_GB2312"/>
          <w:b w:val="0"/>
          <w:sz w:val="32"/>
        </w:rPr>
        <w:t>9. 城阳区橡塑材料产业集群入选首批名单（观海新闻电子版） https://epaper.guanhai.com.cn/conpaper/qdwb/resfile/2023-01-03/A09/qdwb-20230103-A09.pdf</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