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青岛市市南区数字经济特色产业集群发展研究报告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青岛市市南区数字经济特色产业集群于2023年经山东省工业和信息化厅认定为省级特色产业集群，是当年山东省唯一获评的数字经济类特色集群，具有鲜明的历史性突破意义。该集群是当地实施工业强区战略、培育新质生产力的重要载体与关键抓手，战略意义突出。其发展得到了省市两级在规划编制、资金安排与应用场景上的持续倾斜与系统性支持。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集群总占地面积约19.57万平方米，创新能力较为充分，优质企业密度与主导产业集聚度相对较高，是青岛市软件信息与数字经济发展的核心承载区与策源地。其发展得到了省市两级在规划编制、资金安排与应用场景上的持续倾斜与系统性支持。区域创新资源与行业龙头企业的空间叠加，构成了集群难以复制的独特发展禀赋优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市南区是青岛市软件信息产业发展的摇篮，互联网、软件和信息技术服务业规上企业数量占全市的21%，集群在区域数字经济发展中承担着引领与示范功能。区域创新资源与行业龙头企业的空间叠加，构成了集群难以复制的独特发展禀赋优势。该集群是当地实施工业强区战略、培育新质生产力的重要载体与关键抓手，战略意义突出。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山东省工业和信息化厅公布数据，2022年市南区数字经济特色产业集群总产值达546.63亿元，规模体量在省级特色集群中位居前列，发展基础雄厚。上述规模数据直观反映了集聚区在龙头企业总部经济强力拉动下的快速扩张总体态势。下一步应当更加注重规模增长的质量成色与本地实体经济的真实贡献占比。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2023年市南区数字经济核心产业增加值突破280亿元，同比增长30%，占GDP比重达18%，数字经济的增长动能与结构占比持续提升。下一步应当更加注重规模增长的质量成色与本地实体经济的真实贡献占比。产业规模的持续壮大，为区域就业、财政税收与上下游关联产业提供了有力支撑。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集群汇聚数字经济领域企业4000余家，软件信息类规上企业数量占全市近20%，并拥有省软件产业高质量发展重点项目19个、省首版次高端软件产品42个。产业规模的持续壮大，为区域就业、财政税收与上下游关联产业提供了有力支撑。上述规模数据直观反映了集聚区在龙头企业总部经济强力拉动下的快速扩张总体态势。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重点打造高端软件、集成电路、人工智能、元宇宙四条核心赛道，形成“数字产业化+产业数字化”双轮驱动的特色数字产业体系。三大主导产业相互嵌套、彼此赋能，共同构成了相对完整的产业生态体系。平台、产品与装备三者协同发力，是集群区别于单纯制造型集群的鲜明关键特征。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产业链涵盖软件设计、软件技术、软件研发与软件应用推广等环节，并逐步形成软件产业聚拢，龙头企业在各赛道发挥牵引作用，生态较为完整。平台、产品与装备三者协同发力，是集群区别于单纯制造型集群的鲜明关键特征。主导产业的清晰分工与定位，有利于精准施策与产业链条向纵深方向拓展延伸。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集群以海信集团、鼎信通讯、松立控股、金东数创、彼图科技等知名企业为支撑，在高端软件、数字创意、人工智能应用场景等领域形成差异化竞争力。主导产业的清晰分工与定位，有利于精准施策与产业链条向纵深方向拓展延伸。三大主导产业相互嵌套、彼此赋能，共同构成了相对完整的产业生态体系。县域层面的精准服务与要素保障，是特色产业集群做大做强的关键变量，相关做法值得在同类地区复制推广。</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形成包含软件设计、软件技术、软件研发、软件应用推广在内的较为完整的软件产业链，上下游衔接顺畅、配套能力较强。总体看，集群产业链已具雏形，但高端环节本地配套仍是后续发力的重点方向。产业链的横向协同与纵向贯通程度，从根本上决定了集群整体效率与竞争力。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在人工智能与元宇宙方向，集群向上游算法、数据、芯片延伸，向下游文旅、金融、医疗等场景应用拓展，产业链纵向贯通程度不断提高。产业链的横向协同与纵向贯通程度，从根本上决定了集群整体效率与竞争力。应以链主企业为核心节点，推动上下游企业在区内的就近配套与紧密协作联动。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数字经济产业创新园、元宇宙产业创新园等专业载体集聚效应显现，新注册企业319家、注册资本超100亿元，产业链生态持续完善。应以链主企业为核心节点，推动上下游企业在区内的就近配套与紧密协作联动。总体看，集群产业链已具雏形，但高端环节本地配套仍是后续发力的重点方向。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在底层芯片、核心工业软件等基础环节本地供给仍显不足，部分关键软硬件依赖外部引进，需补强基础层以夯实产业链自主可控能力。补齐上述短板，是提升集群产业韧性与关键技术自主可控能力的当务之急所在。针对短板环节开展定向招商与联合攻关，可有效缩短配套半径与订单响应时间。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中小企业居多、龙头企业相对有限，产业链“头部强、腰部弱”的结构性短板有待补齐，需培育更多具有生态组织能力的平台型领军企业。针对短板环节开展定向招商与联合攻关，可有效缩短配套半径与订单响应时间。应设立专项攻关推进机制，集中力量突破制约产业链安全运行的各类关键瓶颈。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算力、数据等新型要素的市场化配置机制尚在完善，公共数据集与开放场景供给不足，制约了中小企业人工智能应用的规模化落地。应设立专项攻关推进机制，集中力量突破制约产业链安全运行的各类关键瓶颈。补齐上述短板，是提升集群产业韧性与关键技术自主可控能力的当务之急所在。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在软件应用与数字创意等环节具备较强竞争力，但研发设计、底层架构与标准制定等高附加值环节占比有待提升，价值链仍有上移空间。提升价值链位势，需要持续向研发设计与运营服务两端延伸拓展能力。避免陷入低附加值环节的同质化竞争，是集群保持长期竞争优势的重要前提。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金东数创等企业在数字孪生、沉浸式体验等细分领域形成成熟成果转化，推动集群由项目交付向产品化、平台化升级，价值捕获能力增强。避免陷入低附加值环节的同质化竞争，是集群保持长期竞争优势的重要前提。应以数据要素深度赋能，系统提升全链条的价值创造能力与价值捕获能力。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以标准制定与应用场景开放提升品牌溢价，是集群提升价值链位势的有效路径，亦有助于在区域数字产业分工中占据更有利位置。应以数据要素深度赋能，系统提升全链条的价值创造能力与价值捕获能力。提升价值链位势，需要持续向研发设计与运营服务两端延伸拓展能力。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形成龙头引领、配套协同的分工格局，海信、鼎信等头部企业专注平台与核心技术，广大中小企业聚焦细分场景与专业服务。合理的产业分工格局，有助于避免重复建设与区内的同质化无序竞争。应强化当地在总部、研发端的突出优势，把制造环节有序承接落地。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市南区深入实施软件和信息服务产业链“数智强链”专项行动，鼓励自主创新与产业链优化升级，分工体系围绕四大赛道持续细化。应强化当地在总部、研发端的突出优势，把制造环节有序承接落地。跨区域的分工协作，应与本地配套能力建设统筹推进、形成良性互动。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总部+研发+委外加工”等都市工业模式的探索，推动总部经济与制造环节合理分工，释放集群对接大市场、服务全市的协同红利。跨区域的分工协作，应与本地配套能力建设统筹推进、形成良性互动。合理的产业分工格局，有助于避免重复建设与区内的同质化无序竞争。从总体看，该集群正处于由规模扩张向质量提升跨越的关键阶段，需在保持规模优势的同时加快补齐短板。</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呈“龙头+配套”的结构，汇聚数字经济领域企业4000余家，其中软件信息类规上企业占全市近20%，大中小企业梯度较为清晰。优化规模结构，重点在于壮大腰部企业与规模以上工业企业的总体数量。应建立企业梯次培育动态库，实施差异化、精准化的分类扶持政策。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专精特新中小企业28家、专精特新“小巨人”企业2家构成创新主力，但百亿级平台型龙头企业数量相对有限，腰部企业培育仍需加力。应建立企业梯次培育动态库，实施差异化、精准化的分类扶持政策。规模结构的持续改善将直接增强集群抵御外部宏观冲击的整体能力。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建立涵盖12个细分领域、400余家优质企业的培育库，按“创新型—专精特新—小巨人”与“雏鹰—瞪羚—独角兽”双赛道梯度培育中小企业。规模结构的持续改善将直接增强集群抵御外部宏观冲击的整体能力。优化规模结构，重点在于壮大腰部企业与规模以上工业企业的总体数量。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资本为主体，海信等头部企业为混合所有制标杆，民营机制赋予企业敏锐的市场反应与灵活的产品迭代决策能力。多元产权共生共荣，有利于形成既有运行秩序又富创新活力的产业氛围。应鼓励国企与民企在技术创新与市场拓展上加强协同与优势互补。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国有资本在数字基础设施、算力中心等重资产环节发挥引导作用，多元产权共生共荣，有利于形成既有活力又富秩序的产业氛围。应鼓励国企与民企在技术创新与市场拓展上加强协同与优势互补。产权结构的持续优化，有助于提升资源配置效率与产业运行内在韧性。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适度引入社会资本与战略投资者，有助于补齐算力、数据等新型要素的资本保障短板，推动企业治理现代化与跨区域资源整合。产权结构的持续优化，有助于提升资源配置效率与产业运行内在韧性。多元产权共生共荣，有利于形成既有运行秩序又富创新活力的产业氛围。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海信集团作为家电与电子信息龙头，其全球研发中心的集聚带动高端软件、集成电路与人工智能人才向市南汇聚，发挥强链引领作用。头部企业的辐射带动力，是衡量一个集群能级高低的重要标志之一。应支持头部企业开放应用场景与采购订单，带动配套企业共同成长。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鼎信通讯在集成电路与通信芯片领域深耕多年，是集群芯片与底层技术的重要支撑企业，提升了产业链基础层的本地供给能力。应支持头部企业开放应用场景与采购订单，带动配套企业共同成长。培育更多市场化头部企业，可进一步优化集群整体的企业生态结构。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金东数创以数字孪生、立体沉浸、AI、XR等技术成为国内领先的数字创意体验全产业链服务商，松立控股、彼图科技等在细分赛道表现突出。培育更多市场化头部企业，可进一步优化集群整体的企业生态结构。头部企业的辐射带动力，是衡量一个集群能级高低的重要标志之一。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块状集聚特征，以软件园、数字经济产业创新园、元宇宙产业创新园为核心形成专业化载体，配套企业围绕龙头就近布局。集聚度的提升，必须与配套深度的提升同步推进方能真正见效。应防止企业物理集聚而业务松散，强化产业链条的内在有机联系。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抱团发展使中小企业在场景共建、技术交流上互学互鉴，区域品牌“市南数字”的认知度与采购粘性不断增强，集聚正向外部性持续释放。应防止企业物理集聚而业务松散，强化产业链条的内在有机联系。园区载体与赋能平台的协同联动，是集聚向真正集群演进的关键所在。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创新要素与场景资源在空间上高度叠加，推动集聚区由单纯开发向研发、孵化、体验复合功能型集群演进，产业组织形态不断升级。园区载体与赋能平台的协同联动，是集聚向真正集群演进的关键所在。集聚度的提升，必须与配套深度的提升同步推进方能真正见效。面向未来，集群应统筹好扩能与提质、传统与新兴、发展与安全的关系，以系统观念推动高质量发展行稳致远。</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企业研发投入力度较大，省软件工程技术中心5家、省首版次高端软件产品42个，体现出以研发驱动产品升级的清晰战略导向。持续稳定的研发投入，是集群保持技术领先与竞争力的根本保障。应引导金融资本与社会资本更多进入早期研发与中试关键环节。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近三年集群主持及参与制定国家和行业标准56项，中小企业有效发明专利60项，研发活动覆盖软件、集成电路与人工智能等方向。应引导金融资本与社会资本更多进入早期研发与中试关键环节。研发投入的结构优化，比单纯增加投入总量更具长远战略意义。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政策杠杆有效撬动企业创新意愿，但基础研究与底层技术投入仍偏弱，需以算力与公共平台降低中小企业创新门槛、持续加力。研发投入的结构优化，比单纯增加投入总量更具长远战略意义。持续稳定的研发投入，是集群保持技术领先与竞争力的根本保障。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专利、软件产品与标准为主，有效发明专利60项并在高端软件、人工智能领域形成一批具有自主知识产权的核心成果。创新产出的数量规模与质量水平，共同反映集群的真实创新活力。应完善成果转化收益分配机制，激发各类主体的创新积极性。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产品不断向平台化、智能化升级，彼图科技“制造+整车AI质检”入选2023年山东省人工智能应用场景，创新直接转化为市场竞争力提升。应完善成果转化收益分配机制，激发各类主体的创新积极性。标志性的重大创新成果，有助于显著提升集群在行业内的话语权。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标准话语权增强，头部企业参与国家与行业标准编制，使集群由产品输出迈向标准输出，为应对技术壁垒与提升溢价赢得空间。标志性的重大创新成果，有助于显著提升集群在行业内的话语权。创新产出的数量规模与质量水平，共同反映集群的真实创新活力。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拥有“国家火炬计划软件产业基地”“国家科技企业孵化器”等国家级平台，平台能级决定创新策源能力，是支撑产业升级的硬底座。平台之间的协同共享，是放大有限创新投入综合效益的重要路径。应推动创新平台面向中小企业开放，切实降低其创新门槛与成本。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深化校地合作与产学研协同，可快速弥补高端平台与中试资源的不足，推动创新联合体建设，提升集群在行业标准制定中的话语权。应推动创新平台面向中小企业开放，切实降低其创新门槛与成本。多层次平台体系的有序布局，为集群创新提供了较为坚实的支撑。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以产业互联网与公共算力平台链接供需两侧，为中小企业提供算力、数据与检测等公共服务，降低了创新门槛、放大了投入效益。多层次平台体系的有序布局，为集群创新提供了较为坚实的支撑。平台之间的协同共享，是放大有限创新投入综合效益的重要路径。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龙头企业平台化改造验证了数字产业智改数转的可行路径，市南区“云脑+”“平台+”等五项行动推动技术成果快速转化为应用场景。成果转化效率的高低，直接决定研发投入能否变为现实生产力。应以应用场景为牵引，打通从实验室样品到市场商品的转化通道。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中试与场景验证能力是打通实验室到市场的关键，集群以专业园区与开放场景补齐转化短板，推动更多创新成果留在本地、形成产值。应以应用场景为牵引，打通从实验室样品到市场商品的转化通道。强化中试熟化能力，是补齐转化短板、加速科技成果产业化的关键。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数字技术与文旅、金融、医疗等场景的融合应用，使成果得以在中小企业间快速扩散复制，形成“龙头突破—配套跟进”的转化机制。强化中试熟化能力，是补齐转化短板、加速科技成果产业化的关键。成果转化效率的高低，直接决定研发投入能否变为现实生产力。在绿色低碳与数字化双重浪潮下，该集群有基础、有条件、有场景率先建成具有区域影响力的特色产业高地。</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积淀了大批软件工程与数字技术人才，程序员、算法与产品岗位供给相对充足，为数字经济发展提供了稳定的人力资本基础。人力资本的持续积累与结构优化，是集群行稳致远的深层支撑。应完善引才留才政策机制，增强对跨界复合型高端人才的吸引力。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随着人工智能与元宇宙推进，对算法、三维建模与复合型人才需求上升，人才结构升级直接决定集群数实融合的落地成色与质量。应完善引才留才政策机制，增强对跨界复合型高端人才的吸引力。产教融合的深化推进，有助于有效缓解结构性用工矛盾与错配。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产教融合与人才引进体系持续完善，有助于稳定数字人才供给、平抑成本波动，人机协同也将重塑岗位体系并对培训提出新要求。产教融合的深化推进，有助于有效缓解结构性用工矛盾与错配。人力资本的持续积累与结构优化，是集群行稳致远的深层支撑。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多元金融机构与产业基金为集群提供了较充裕的资本供给，注册资本超100亿元的新注册企业印证了资本对数字赛道的信心。资本与产业的良性互动循环，是新兴集群健康成长的重要条件。应丰富科技金融产品供给，精准滴灌早期科创企业与中小企业。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科创金融精准滴灌早期软件与人工智能企业，缓解研发占款与变现周期压力，畅通了资本与产业良性循环的渠道。应丰富科技金融产品供给，精准滴灌早期科创企业与中小企业。金融资源的高度集聚，为集群重大项目落地提供了坚实资金保障。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引导资本向底层芯片、算力与垂直大模型等新兴环节集聚，方能优化整体投入产出效率，为新赛道按期达产提供关键资金保障。金融资源的高度集聚，为集群重大项目落地提供了坚实资金保障。资本与产业的良性互动循环，是新兴集群健康成长的重要条件。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市南区以楼宇经济与专业园区集约布局提升空间产出效率，软件园与元宇宙大厦以存量更新拓展数字产业发展物理空间。集约节约高效用地，是当地发展先进制造业的必然现实选择。应通过存量更新与飞地合作等多种方式，拓展产业发展物理空间。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数字经济属低能耗、高附加值产业，集群以绿色低碳为约束推进节能改造，单位产值能耗显著优于传统制造业，契合功能定位。应通过存量更新与飞地合作等多种方式，拓展产业发展物理空间。绿色低碳的能耗结构，高度契合集群自身的产业属性与功能定位。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绿色数据中心与算力调度将改善集群碳足迹与合规水平，节地节能是中心城区发展先进制造业的现实选择，也是对接碳规则的必答题。绿色低碳的能耗结构，高度契合集群自身的产业属性与功能定位。集约节约高效用地，是当地发展先进制造业的必然现实选择。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对实体原材料依赖较低，核心“原料”为数据、算法与算力，数据要素安全直接关系成本底线与供应链稳定，需通过合规治理增强可控性。关键材料的本地配套能力，直接关系到供应链安全与成本竞争力。应以数据要素弥补传统要素约束，培育形成新型差异化竞争优势。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公共数据集与开放场景作为“新型原料”，构建数据供给体系可提升中小企业人工智能应用的可得性与绿色成色。应以数据要素弥补传统要素约束，培育形成新型差异化竞争优势。原材料保障能力的持续增强，将提升集群制造端的安全边际水平。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龙头企业通过自建与协同获取算力资源，但高端算力周期性紧张仍存风险，建立调度与储备机制是保供稳价的长远之策。原材料保障能力的持续增强，将提升集群制造端的安全边际水平。关键材料的本地配套能力，直接关系到供应链安全与成本竞争力。县域层面的精准服务与要素保障，是特色产业集群做大做强的关键变量，相关做法值得在同类地区复制推广。</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深度服务全省乃至全国政企数字化转型，内需基本盘稳固，为应对外部不确定性提供战略纵深与广阔的需求空间。国内超大规模市场为集群提供了广阔且相对稳定的需求基本盘。应推动产品服务标准化模块化，提升跨区域复制与拓展的能力。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市南区数字经济核心产业增加值连续两年居全市前2，国内软件与人工智能市场的旺盛需求带动集群规模稳步扩张。应推动产品服务标准化模块化，提升跨区域复制与拓展的能力。内需的持续增长态势，是集群规模稳步扩张的坚实需求侧基础。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区域协同使市南更易嵌入全省数字产业网络，高端软件、集成电路在国内的较高市占率体现了稳固的国内市场竞争地位。内需的持续增长态势，是集群规模稳步扩张的坚实需求侧基础。国内超大规模市场为集群提供了广阔且相对稳定的需求基本盘。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数字经济服务基地入选山东省7家数字经济领域特色服务出口基地之一，软件与数字服务出口具备一定基础，国际化渠道逐步打开。提升国际化发展水平，是集群拓展市场边界的重要战略主攻方向。应借力国家战略东风，推动装备、产品与运维服务协同抱团出海。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金东数创等企业的数字创意能力具备出海潜力，龙头企业的国际化布局带动配套企业协同拓展服务外包市场，外向度稳步提高。应借力国家战略东风，推动装备、产品与运维服务协同抱团出海。外向度的稳步提高，有助于分散单一市场带来的周期波动风险。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数据合规与低碳认证是维持并扩大数字服务出口份额的必答题，提升出口结构与单位货值，有助于增强国际市场话语权。外向度的稳步提高，有助于分散单一市场带来的周期波动风险。提升国际化发展水平，是集群拓展市场边界的重要战略主攻方向。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市南数字”与企业品牌应协同发力，海信、金东数创等龙头品牌塑造有助于集群从项目交付走向更广阔的应用端市场。区域品牌与企业品牌应协同发力，形成具有合力的品牌矩阵效应。以标准制定与认证认可提升品牌溢价，是品牌建设的有效路径。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以标准制定与资质认证提升品牌溢价，是品牌建设有效路径；“国家火炬计划软件产业基地”等荣誉已为集群赢得较高行业能见度。以标准制定与认证认可提升品牌溢价，是品牌建设的有效路径。品牌影响力的不断扩大，将增强集群的市场号召力与议价能力。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多渠道品牌输出将提升市南数字经济在全球市场的辨识度，区域品牌与企业品牌协同方能把规模优势转化为可持续的溢价能力。品牌影响力的不断扩大，将增强集群的市场号召力与议价能力。区域品牌与企业品牌应协同发力，形成具有合力的品牌矩阵效应。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政企数字化+消费元宇宙”双轨特征，智慧城市、数字文旅与产业数字化需求旺盛，要求集群在多条赛道配置资源与产能。准确把握需求端的结构变化，是集群保持战略主动的重要前提。应以场景创新主动响应需求，形成供需之间的正向良性循环。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定制化与智能化正重塑客户选择，政企对一体化解决方案、交付时效要求提高，倒逼供给质量跃升与平台化交付能力建设。应以场景创新主动响应需求，形成供需之间的正向良性循环。需求结构的加速升级，为集群业务转型提供了明确清晰的方向。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建立需求预警机制有助于平抑周期波动，保障稳健经营；下游应用同质化风险亦提示新赛道投资须更趋理性与稳健。需求结构的加速升级，为集群业务转型提供了明确清晰的方向。准确把握需求端的结构变化，是集群保持战略主动的重要前提。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数字经济呈多区域竞争格局，市南凭借软件积淀与完整链条保持领先，但须靠持续创新与场景开放避免停在规模优势上停滞不前。错位发展、优势互补，是应对日趋激烈区域竞争的现实理性选择。应把总部研发的独特优势转化为难以复制模仿的竞争护城河。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错位切入元宇宙、垂直大模型等新兴方向，是规避同质竞争、保持差异化优势的现实选择，区域协作优于零和博弈。应把总部研发的独特优势转化为难以复制模仿的竞争护城河。区域协同联动优于零和博弈竞争，应积极寻求跨区域的联动共赢。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与国内先发数字城市相比，市南在场景与品牌占优，但在底层技术与平台生态上仍需加快补课、巩固护城河。区域协同联动优于零和博弈竞争，应积极寻求跨区域的联动共赢。错位发展、优势互补，是应对日趋激烈区域竞争的现实理性选择。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应用强、基础弱的结构性矛盾，底层芯片与工业软件短板需系统化、分类破解以补齐产业链高端环节。内部结构性矛盾的系统性破解，需要系统思维与久久为功的韧劲。应把做实做厚制造与核心产出，作为推动高质量发展的着力点。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创新与要素短板叠加，是迈向高质量必须逾越的门槛；研发设计、平台生态等软环节薄弱制约了价值链整体上行。应把做实做厚制造与核心产出，作为推动高质量发展的着力点。打通内部循环堵点，是提升集群整体运行效能的关键所在环节。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品牌溢价不足、基础层能力偏弱，提示集群需在价值链高端加速补课，避免长期停留在应用交付环节的微利竞争区间。打通内部循环堵点，是提升集群整体运行效能的关键所在环节。内部结构性矛盾的系统性破解，需要系统思维与久久为功的韧劲。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技术路线快速迭代、算力供给波动构成主要外部风险，多重风险交织要求集群建立敏捷的预警应对与技术跟踪机制。前瞻识别并研判外部风险，有助于守住集群平稳发展的安全底线。应以多元供应体系与自主可控能力，增强产业链的抗冲击韧性。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国际技术壁垒与数据合规趋严将重塑出口规则，核心软硬件自主可控宜早不宜迟；地缘政治亦可能影响海外市场拓展。应以多元供应体系与自主可控能力，增强产业链的抗冲击韧性。建立健全风险监测预警机制，是稳健发展的重要保障性举措。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需警惕部分数字应用赛道阶段性产能过剩，引导新赛道投资更趋理性稳健，以多元技术储备与自主能力增强抗冲击韧性。建立健全风险监测预警机制，是稳健发展的重要保障性举措。前瞻识别并研判外部风险，有助于守住集群平稳发展的安全底线。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2023年省级特色产业集群认定为集群明确了数字产业化主攻方向，省级认定红利需通过项目化落地充分释放，营造稳定发展预期。国家、省、市多层次政策叠加，为集群营造了难得的发展窗口期。应抓紧把政策红利转化为具体的重大项目与实实在在的产业增量。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国家与省市多层次政策叠加，为数字经济发展提供难得窗口期，政策协同可避免扩能与约束之间的内耗、提升整体效能。应抓紧把政策红利转化为具体的重大项目与实实在在的产业增量。顶层政策环境的稳定性与连续性，增强了各类主体的长期稳定预期。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顶层政策引导集群由规模扩张转向质量提升，围绕高端软件、人工智能与元宇宙部署任务，为长远发展提供清晰坐标系。顶层政策环境的稳定性与连续性，增强了各类主体的长期稳定预期。国家、省、市多层次政策叠加，为集群营造了难得的发展窗口期。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市南区印发全省第一个元宇宙产业专项政策，构建“六个一”体系聚力产业发展，以专项政策精准扶持新兴数字赛道。政策的可及性与执行力强弱，直接决定了扶持举措的实际成效。应围绕企业全生命周期，提供精准化、套餐式的政策服务包。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政策工具组合务实，以全生命周期跟踪服务、空间与资金保障增强企业投资改造意愿，保障重点项目按期达产、尽早形成增量。应围绕企业全生命周期，提供精准化、套餐式的政策服务包。地方扶持的系统性协同推进，有助于形成产业发展的强大合力。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精准扶持新兴环节，加快动能转换步伐；以专业园区与公共算力降低中小企业门槛，形成数字产业发展的强大合力。地方扶持的系统性协同推进，有助于形成产业发展的强大合力。政策的可及性与执行力强弱，直接决定了扶持举措的实际成效。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数字经济产业创新园、元宇宙产业创新园等公共载体，补齐从孵化到规模量产的公共服务薄弱环节，提升公共服务能级。公共配套的完善程度与质量，直接影响企业的落地体验与感受。应着力补齐从中试熟化到规模量产之间的公共服务薄弱环节。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数字底座夯实降低了中小企业转型门槛与试错成本，大有智慧算力中心（一期算力600P）等重大设施增强公共算力供给。应着力补齐从中试熟化到规模量产之间的公共服务薄弱环节。优质高效的配套服务是集聚企业、留住企业的重要软性基础设施。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配套由保生产向促升级演进，以优质高效服务集聚并留住企业，是支撑集群高质量发展的重要软性基础设施。优质高效的配套服务是集聚企业、留住企业的重要软性基础设施。公共配套的完善程度与质量，直接影响企业的落地体验与感受。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组织在推动标准编制、场景共建与抱团出海上发挥作用，协会成熟运作是集群从政府推动走向市场自驱的重要标志。行业协会的赋能转型与功能升级，将释放更大的产业组织效能。应增强协会对广大中小企业的服务覆盖广度与专业服务深度。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制度化协作把抱团经验固化，增强自组织生命力；以联盟联动整合创新与品牌资源，放大集群整体声量与议价能力。应增强协会对广大中小企业的服务覆盖广度与专业服务深度。发挥好桥梁纽带作用，有助于优化集群的内部治理与产业生态。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协会在人才培养、行业自律中的桥梁作用，有助于优化集群内部治理与产业生态，提升运行秩序与活力。发挥好桥梁纽带作用，有助于优化集群的内部治理与产业生态。行业协会的赋能转型与功能升级，将释放更大的产业组织效能。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2023年数字经济核心产业增加值达280亿元，较集群规模显著提升，经济效应夯实了城区稳增长与财政可持续的实物基础。经济效应的巩固夯实，需要实体经济与总部经济实现协同发展。关联产业的强劲带动，放大了集群对区域整体经济的贡献度。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结构升级使增长更具质量与长期可持续性，头部企业与专精特新企业构成高韧性税源与产业增量的重要来源。关联产业的强劲带动，放大了集群对区域整体经济的贡献度。应注重增长的质量内涵，避免经济效应过度依赖结算型总部。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增量效益释放持续增厚区域经济底盘，数字经济作为支柱产业对上下游关联产业与楼宇服务业形成有力牵引。应注重增长的质量内涵，避免经济效应过度依赖结算型总部。经济效应的巩固夯实，需要实体经济与总部经济实现协同发展。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作为知识与技术密集型产业，是稳岗惠民的重要阵地，庞大数字人才队伍与配套服务业提供了广泛的城镇就业岗位。就业结构的持续优化升级，使产业发展更好惠及各类劳动者。应扩大就业带动覆盖面向，兼顾知识型与技能型岗位稳定供给。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技能岗位扩容对提升劳动者收入具有积极意义，智能化在替代部分重复岗位的同时也创造了算法与运维等新岗位。应扩大就业带动覆盖面向，兼顾知识型与技能型岗位稳定供给。产业与就业的良性互动交融，增强了发展的社会基础与认同。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就业乘数效应在城区层面形成广泛社会福祉，产业发展成果通过工资与配套消费切实反哺本地居民与生活改善。产业与就业的良性互动交融，增强了发展的社会基础与认同。就业结构的持续优化升级，使产业发展更好惠及各类劳动者。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使集群红利超越产业本身，金融、法律、设计等生产性服务业随集群壮大而外溢，惠及更广区域。溢出效应的本地高效转化，是集群价值外溢的关键最终落点。应以机制创新为牵引，促进技术外溢转化为本地产业新增量。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创新外溢为全市其他产业数字化转型提供可复制方法论，专业园区模式亦可向其他城区推广借鉴。应以机制创新为牵引，促进技术外溢转化为本地产业新增量。正向溢出效应的释放，有助于提升集群在全省产业转型中地位。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品牌与空间溢出正提升市南整体产业辨识与吸引力，省级唯一数字经济集群的声誉增强了招商引资的磁吸效应。正向溢出效应的释放，有助于提升集群在全省产业转型中地位。溢出效应的本地高效转化，是集群价值外溢的关键最终落点。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产城融合让数字发展成果更直接反哺民生改善，智慧商圈、智慧医疗等场景建设提升居民获得感。社会效应的不断深化拓展，使产业发展更具温度与公共价值。应将惠民导向贯穿应用场景建设始终，切实造福广大市民群众。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绿色智能转型改善人居环境与城市治理，增强了社会对集群可持续发展的认同感与包容度。应将惠民导向贯穿应用场景建设始终，切实造福广大市民群众。绿色智慧的发展成果，提升了城市治理与公共服务的整体水平。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透明沟通与合规治理有助于巩固集群可持续发展的社会基础，政企互动的良性氛围为长期发展提供软环境支撑。绿色智慧的发展成果，提升了城市治理与公共服务的整体水平。社会效应的不断深化拓展，使产业发展更具温度与公共价值。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准确把握症结是精准发力的前提，集群规模与质量存在阶段性落差，需通过系统提升弥合应用强与基础弱的鸿沟。问题清单的清晰厘定，为后续精准施策提供了明确靶向与坐标。应以结构性改革为统领，系统破除制约集群能级跃升的藩篱。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内部结构性短板、创新与要素叠加，是迈向高质量必须逾越的门槛，须以结构性改革统领系统破除制约能级跃升的藩篱。应以结构性改革为统领，系统破除制约集群能级跃升的藩篱。正视问题、补齐短板，是集群迈向高质量阶段的必经现实之路。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正视问题、补齐短板是集群迈向更高阶段的必经之路，分类施策、综合施治方能将体量优势转化为持久发展胜势。正视问题、补齐短板，是集群迈向高质量阶段的必经现实之路。问题清单的清晰厘定，为后续精准施策提供了明确靶向与坐标。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沿产业链图谱精准发力，重点补齐底层芯片、工业软件与公共数据等短板环节，避免盲目铺摊子、走弯路。三链协同同步发力，方能筑牢集群安全稳定运行与竞争力的根基。应以应用场景为牵引，推动延链环节尽快形成规模与集群效应。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向平台运营、行业解决方案延伸是增厚价值捕获的核心方向，推动由项目交付商向“产品+服务”综合方案商升级。应以应用场景为牵引，推动延链环节尽快形成规模与集群效应。补链强链延链各项举措，需与区域资源禀赋紧密结合起来推进。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循环链条构建将增强绿色与可持续属性，以公共算力与数据平台贯通上下游，形成大中小企业融通、三链协同的稳固生态。补链强链延链各项举措，需与区域资源禀赋紧密结合起来推进。三链协同同步发力，方能筑牢集群安全稳定运行与竞争力的根基。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梯度培育有助于形成大中小企业融通的生动局面，重点壮大平台型腰部骨干，避免梯队断档与衔接空档。企业梯次健康成长，是集群活力与韧性的根本源头与依托。应营造大中小企业融通、共生共荣的良性产业生态与氛围。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错位发展可化解内卷、提升整体配置效率，鼓励龙头开放场景与订单，带动配套企业卡位入链、共同成长。应营造大中小企业融通、共生共荣的良性产业生态与氛围。市场化领军企业的不断壮大，将优化集群整体的企业结构。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品牌与资本双轮驱动夯实企业长期竞争力，支持更多企业上市与走出去，优化集群整体企业生态与抗风险结构。市场化领军企业的不断壮大，将优化集群整体的企业结构。企业梯次健康成长，是集群活力与韧性的根本源头与依托。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平台与攻关并重方能筑牢创新策源功能，以公共算力与软件工程中心提升共性技术供给与中试熟化能力。创新体系自身的完善程度，决定集群长期竞争力的高度与厚度。应以场景驱动为手段，加速科研成果向现实生产力有效转化。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打通转化通道让创新更快变为现实生产力，深化校地合作与产学研协同，推动成果留在本地、形成产值。应以场景驱动为手段，加速科研成果向现实生产力有效转化。全链条创新生态构建，需统筹基础研究、技术攻关与产业化。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数字赋能全面提升全要素生产率，支持龙头企业牵头组建创新联合体，在标准与专利上持续扩大话语权。全链条创新生态构建，需统筹基础研究、技术攻关与产业化。创新体系自身的完善程度，决定集群长期竞争力的高度与厚度。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精准配置是升级落地的基础保障，以绩效挂钩土地与算力指标，倒逼低效产能退出、腾出发展空间。要素资源的精准保障，是政策落地生根与企业成长的关键支撑。应推动数据等新型要素与传统要素协同发力、相互赋能增效。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资本与数据协同保障疏通企业扩能堵点，发挥科创金融作用精准滴灌中小配套，平抑高端算力供给波动。应推动数据等新型要素与传统要素协同发力、相互赋能增效。打通要素流通堵点痛点，可有效降低企业制度性交易成本。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人才与服务下沉提升中小企业获取资源能力，完善产教融合与人才引进，夯实数实融合的人力资本底座。打通要素流通堵点痛点，可有效降低企业制度性交易成本。要素资源的精准保障，是政策落地生根与企业成长的关键支撑。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规划与政策协同可避免扩能与约束内耗，建立闭环评估反馈机制动态优化政策实施效果，提升治理效能。政策的协同性与精准度，是衡量政府治理效能的重要标尺之一。应建立闭环评估反馈机制，动态优化政策实施的实际效果。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精准可感的政策供给切实降低制度性交易成本，围绕企业全生命周期提供套餐式服务包，增强投资改造意愿。应建立闭环评估反馈机制，动态优化政策实施的实际效果。以优质营商环境为基石，巩固并持续放大省级特色集群突出优势。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以优质营商环境为基石巩固省级特色集群优势，协同治理模式护航集群行稳致远、迈向更高层级与更广影响。以优质营商环境为基石，巩固并持续放大省级特色集群突出优势。政策的协同性与精准度，是衡量政府治理效能的重要标尺之一。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市南区政府网《推动产业“聚链成群” 数字经济发展“新引擎”》：https://www.qdsn.gov.cn/zwgk_8/ywdt_8/zwyw_8/202308/t20230803_7359801.shtml</w:t>
      </w:r>
    </w:p>
    <w:p>
      <w:pPr>
        <w:spacing w:lineRule="exact" w:line="600" w:after="0"/>
        <w:ind w:firstLine="0"/>
      </w:pPr>
      <w:r>
        <w:rPr>
          <w:rFonts w:ascii="仿宋_GB2312" w:hAnsi="仿宋_GB2312" w:eastAsia="仿宋_GB2312"/>
          <w:b w:val="0"/>
          <w:sz w:val="32"/>
        </w:rPr>
        <w:t>2. 青岛市民营经济发展局《我市新增3家山东省特色产业集群》：http://myj.qingdao.gov.cn/gzxx/202307/t20230717_7302270.shtml</w:t>
      </w:r>
    </w:p>
    <w:p>
      <w:pPr>
        <w:spacing w:lineRule="exact" w:line="600" w:after="0"/>
        <w:ind w:firstLine="0"/>
      </w:pPr>
      <w:r>
        <w:rPr>
          <w:rFonts w:ascii="仿宋_GB2312" w:hAnsi="仿宋_GB2312" w:eastAsia="仿宋_GB2312"/>
          <w:b w:val="0"/>
          <w:sz w:val="32"/>
        </w:rPr>
        <w:t>3. 人民网《青岛市新增3家山东省特色产业集群》：https://sd.people.com.cn/BIG5/n2/2023/0717/c386785-40497255.html</w:t>
      </w:r>
    </w:p>
    <w:p>
      <w:pPr>
        <w:spacing w:lineRule="exact" w:line="600" w:after="0"/>
        <w:ind w:firstLine="0"/>
      </w:pPr>
      <w:r>
        <w:rPr>
          <w:rFonts w:ascii="仿宋_GB2312" w:hAnsi="仿宋_GB2312" w:eastAsia="仿宋_GB2312"/>
          <w:b w:val="0"/>
          <w:sz w:val="32"/>
        </w:rPr>
        <w:t>4. 新华财经《青岛市南区逐浪数字经济汇聚发展动能》：https://www.cnfin.com/szjj-lb/detail/20240321/4026004_1.html</w:t>
      </w:r>
    </w:p>
    <w:p>
      <w:pPr>
        <w:spacing w:lineRule="exact" w:line="600" w:after="0"/>
        <w:ind w:firstLine="0"/>
      </w:pPr>
      <w:r>
        <w:rPr>
          <w:rFonts w:ascii="仿宋_GB2312" w:hAnsi="仿宋_GB2312" w:eastAsia="仿宋_GB2312"/>
          <w:b w:val="0"/>
          <w:sz w:val="32"/>
        </w:rPr>
        <w:t>5. 新华网《青岛市南区：创新“四个打开分析”工作法数字经济提质升级》：https://www.xinhuanet.com/city/20240722/617b8b3ba3c34d4db3360d82ba7994f0/c.html</w:t>
      </w:r>
    </w:p>
    <w:p>
      <w:pPr>
        <w:spacing w:lineRule="exact" w:line="600" w:after="0"/>
        <w:ind w:firstLine="0"/>
      </w:pPr>
      <w:r>
        <w:rPr>
          <w:rFonts w:ascii="仿宋_GB2312" w:hAnsi="仿宋_GB2312" w:eastAsia="仿宋_GB2312"/>
          <w:b w:val="0"/>
          <w:sz w:val="32"/>
        </w:rPr>
        <w:t>6. 大众日报客户端《青岛市新增3家山东省特色产业集群》：https://sd.dzwww.com/sdnews/202307/t20230718_12382904.htm</w:t>
      </w:r>
    </w:p>
    <w:p>
      <w:pPr>
        <w:spacing w:lineRule="exact" w:line="600" w:after="0"/>
        <w:ind w:firstLine="0"/>
      </w:pPr>
      <w:r>
        <w:rPr>
          <w:rFonts w:ascii="仿宋_GB2312" w:hAnsi="仿宋_GB2312" w:eastAsia="仿宋_GB2312"/>
          <w:b w:val="0"/>
          <w:sz w:val="32"/>
        </w:rPr>
        <w:t>7. 经济导报《山东已认定4批100家省级特色产业集群》：https://www.toutiao.com/article/7259319084192743948/</w:t>
      </w:r>
    </w:p>
    <w:p>
      <w:pPr>
        <w:spacing w:lineRule="exact" w:line="600" w:after="0"/>
        <w:ind w:firstLine="0"/>
      </w:pPr>
      <w:r>
        <w:rPr>
          <w:rFonts w:ascii="仿宋_GB2312" w:hAnsi="仿宋_GB2312" w:eastAsia="仿宋_GB2312"/>
          <w:b w:val="0"/>
          <w:sz w:val="32"/>
        </w:rPr>
        <w:t>8. 市南区元宇宙与数字经济专项政策（市南区政府网，2023年）：https://www.qdsn.gov.cn/zwgk_8/ywdt_8/zwyw_8/202308/t20230803_7359801.shtml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