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东平县数字港航经济特色产业集群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山东金运通网络科技有限公司企业分析报告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（本报告基于东平县政府/泰安官方报道及天眼查/爱企查工商信息整理。山东金运通网络科技有限公司为非上市企业，财务数据未单独公开披露，以下采用公开报道口径（2025年营收约2.41亿元）并如实标注。）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山东金运通网络科技有限公司注册地山东省泰安市东平县，为非上市企业；具体法定代表人、注册资本以工商登记为准。主营网络货运/数字物流平台。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设平台研发、运营、运力与客服体系。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东平县数字港航经济代表企业，依托东平港航与物流产业基础发展网络货运平台。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定位为数字物流/网络货运平台企业，主营大宗货物（煤炭、化肥等）线上运力匹配、车货匹配与物流数字化服务，协同东平陆港多式联运。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以网络货运平台服务费、运力撮合与物流数字化服务为主。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网络货运平台、车货匹配、运力调度、物流数据服务，服务东平港航大宗货物。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下游为东平及周边煤炭、化肥、制造企业（如瑞星集团等）的物流需求方与个体运力。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整合社会运力（卡车司机/车队），平台轻资产运营。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具备网络货运经营资质，数字化运力池与调度系统。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平台化获客，线上交易+线下运力交付。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公开报道2025年营业收入约2.41亿元（东平县数字港航经济相关报道）。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公司为非上市企业，近三年完整财务数据未单独公开披露。公开口径：2025年营业收入约2.41亿元（地方报道）。具体资产负债、现金流未披露，不予编造。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民营企业治理，设经营管理层。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核心团队具物流与互联网平台经验。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网络货运平台合规范畴（税务、运单、资金）。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以平台运营、技术与运力管理为主。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一是场景壁垒：依托东平港航大宗物流真实货源。二是牌照壁垒：网络货运资质。三是数据壁垒：车货匹配与调度数据沉淀。四是协同壁垒：与兖矿东平陆港多式联运联动。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网络货运行业合规（税务、虚开）风险；货源依赖本地大宗周期；运力波动。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强化合规与真实运单；拓展多货类与跨区运力；深化与港口协同。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平台运费应收账款可开展保理。供应链金融：围绕东平港航大宗货主开展存货质押与订单融资。小贷：为平台个体运力提供经营性信贷。山东投资可结合港航数字经济的"平台+实体"场景，以供应链金融与小贷切入，关注合规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金运通是东平数字港航网络货运代表，2025年营收约2.41亿元，场景与牌照真实。建议：山东投资以供应链金融与小贷切入，强化平台合规与货源多元化。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数据来源说明：东平县政府/泰安官方关于数字港航经济的报道（2025年营收约2.41亿元）；天眼查/爱企查工商信息。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