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东营市东营区石油钻采技术服务特色产业集群</w:t>
      </w:r>
    </w:p>
    <w:p>
      <w:pPr>
        <w:spacing w:lineRule="exact" w:line="600" w:before="240" w:after="240"/>
        <w:ind w:firstLine="0"/>
        <w:jc w:val="center"/>
      </w:pPr>
      <w:r>
        <w:rPr>
          <w:rFonts w:ascii="方正小标宋简体" w:hAnsi="方正小标宋简体" w:eastAsia="方正小标宋简体"/>
          <w:b w:val="0"/>
          <w:color w:val="000000"/>
          <w:sz w:val="44"/>
        </w:rPr>
        <w:t>威飞海洋装备制造有限公司企业分析报告</w:t>
      </w:r>
    </w:p>
    <w:p>
      <w:pPr>
        <w:spacing w:lineRule="exact" w:line="600" w:before="0" w:after="0"/>
        <w:jc w:val="left"/>
      </w:pPr>
      <w:r>
        <w:rPr>
          <w:rFonts w:ascii="仿宋_GB2312" w:hAnsi="仿宋_GB2312" w:eastAsia="仿宋_GB2312"/>
          <w:b w:val="0"/>
          <w:color w:val="000000"/>
          <w:sz w:val="28"/>
        </w:rPr>
        <w:t>（说明：威飞海洋装备制造有限公司为东营市石油钻采技术服务特色产业集群（海洋油气方向）的深海装备链主企业，系东营区属国有资本参股的混合所有制企业。经核查国家企业信用信息公示系统、天眼查、企查查公开快照及人民日报等公开报道，公司为非上市企业，财务数据未公开披露。公司是国内唯一研发制造水下采油树并实现产业化应用的企业。本报告文件名与集群名录保持一致，分析对象为威飞海洋装备制造有限公司。本报告数据来源于国家企业信用信息公示系统、天眼查/企查查公开快照及人民日报等公开报道，统计时点截至2026年8月公开可查范围。）</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威飞海洋装备制造有限公司成立于2009年12月18日，统一社会信用代码为913705006996508669，工商注册号370500200008277，组织机构代码69965086-6，纳税人识别号913705006996508669。</w:t>
      </w:r>
    </w:p>
    <w:p>
      <w:pPr>
        <w:spacing w:lineRule="exact" w:line="600" w:before="0" w:after="0"/>
        <w:ind w:firstLine="420"/>
        <w:jc w:val="both"/>
      </w:pPr>
      <w:r>
        <w:rPr>
          <w:rFonts w:ascii="仿宋_GB2312" w:hAnsi="仿宋_GB2312" w:eastAsia="仿宋_GB2312"/>
          <w:b w:val="0"/>
          <w:color w:val="000000"/>
          <w:sz w:val="32"/>
        </w:rPr>
        <w:t>公司法定代表人为隋中斐，登记机关为东营市东营区市场监督管理局，企业类型为有限责任公司（非自然人投资或控股的法人独资），登记状态为存续，营业期限至2039年12月17日，纳税人资质为增值税一般纳税人。</w:t>
      </w:r>
    </w:p>
    <w:p>
      <w:pPr>
        <w:spacing w:lineRule="exact" w:line="600" w:before="0" w:after="0"/>
        <w:ind w:firstLine="420"/>
        <w:jc w:val="both"/>
      </w:pPr>
      <w:r>
        <w:rPr>
          <w:rFonts w:ascii="仿宋_GB2312" w:hAnsi="仿宋_GB2312" w:eastAsia="仿宋_GB2312"/>
          <w:b w:val="0"/>
          <w:color w:val="000000"/>
          <w:sz w:val="32"/>
        </w:rPr>
        <w:t>公司注册资本为20000万元人民币，注册地址与生产经营地址位于山东省东营市东营区西六路1002号，所属行业为专用设备制造业—其他专用设备制造，企业规模认定为中型企业。</w:t>
      </w:r>
    </w:p>
    <w:p>
      <w:pPr>
        <w:spacing w:lineRule="exact" w:line="600" w:before="0" w:after="0"/>
        <w:ind w:firstLine="420"/>
        <w:jc w:val="both"/>
      </w:pPr>
      <w:r>
        <w:rPr>
          <w:rFonts w:ascii="仿宋_GB2312" w:hAnsi="仿宋_GB2312" w:eastAsia="仿宋_GB2312"/>
          <w:b w:val="0"/>
          <w:color w:val="000000"/>
          <w:sz w:val="32"/>
        </w:rPr>
        <w:t>经营范围涵盖深海石油钻探设备制造与销售、水下系统和作业装备制造与销售、海洋工程装备制造与销售、石油钻采专用设备制造、特种设备制造与安装、海洋工程关键配套系统开发、货物进出口等，资质体系完整，是专业海洋油气装备制造商。</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根据公开工商信息，公司股权结构为：山东威飞海洋能源科技有限公司持股100%（法人独资）；而山东威飞海洋能源科技有限公司的股东为东营区产业投资管理有限公司（持股55%，东营区属国有）、山东科瑞汇正能源科技有限公司（持股25%）、东营鸿然/环誉/正泓等员工持股合伙企业（合计持股20%）。</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288"/>
          </w:tcPr>
          <w:p>
            <w:pPr>
              <w:spacing w:lineRule="exact" w:line="600"/>
              <w:jc w:val="center"/>
            </w:pPr>
            <w:r/>
            <w:r>
              <w:rPr>
                <w:rFonts w:ascii="黑体" w:hAnsi="黑体" w:eastAsia="黑体"/>
                <w:b/>
                <w:color w:val="000000"/>
                <w:sz w:val="32"/>
              </w:rPr>
              <w:t>股东名称</w:t>
            </w:r>
          </w:p>
        </w:tc>
        <w:tc>
          <w:tcPr>
            <w:tcW w:type="dxa" w:w="1928"/>
          </w:tcPr>
          <w:p>
            <w:pPr>
              <w:spacing w:lineRule="exact" w:line="600"/>
              <w:jc w:val="center"/>
            </w:pPr>
            <w:r/>
            <w:r>
              <w:rPr>
                <w:rFonts w:ascii="黑体" w:hAnsi="黑体" w:eastAsia="黑体"/>
                <w:b/>
                <w:color w:val="000000"/>
                <w:sz w:val="32"/>
              </w:rPr>
              <w:t>股东性质</w:t>
            </w:r>
          </w:p>
        </w:tc>
        <w:tc>
          <w:tcPr>
            <w:tcW w:type="dxa" w:w="1361"/>
          </w:tcPr>
          <w:p>
            <w:pPr>
              <w:spacing w:lineRule="exact" w:line="600"/>
              <w:jc w:val="center"/>
            </w:pPr>
            <w:r/>
            <w:r>
              <w:rPr>
                <w:rFonts w:ascii="黑体" w:hAnsi="黑体" w:eastAsia="黑体"/>
                <w:b/>
                <w:color w:val="000000"/>
                <w:sz w:val="32"/>
              </w:rPr>
              <w:t>持股比例</w:t>
            </w:r>
          </w:p>
        </w:tc>
        <w:tc>
          <w:tcPr>
            <w:tcW w:type="dxa" w:w="2381"/>
          </w:tcPr>
          <w:p>
            <w:pPr>
              <w:spacing w:lineRule="exact" w:line="600"/>
              <w:jc w:val="center"/>
            </w:pPr>
            <w:r/>
            <w:r>
              <w:rPr>
                <w:rFonts w:ascii="黑体" w:hAnsi="黑体" w:eastAsia="黑体"/>
                <w:b/>
                <w:color w:val="000000"/>
                <w:sz w:val="32"/>
              </w:rPr>
              <w:t>备注</w:t>
            </w:r>
          </w:p>
        </w:tc>
      </w:tr>
      <w:tr>
        <w:tc>
          <w:tcPr>
            <w:tcW w:type="dxa" w:w="3288"/>
          </w:tcPr>
          <w:p>
            <w:pPr>
              <w:spacing w:lineRule="exact" w:line="600"/>
              <w:jc w:val="center"/>
            </w:pPr>
            <w:r/>
            <w:r>
              <w:rPr>
                <w:rFonts w:ascii="仿宋_GB2312" w:hAnsi="仿宋_GB2312" w:eastAsia="仿宋_GB2312"/>
                <w:b w:val="0"/>
                <w:color w:val="000000"/>
                <w:sz w:val="32"/>
              </w:rPr>
              <w:t>东营区产业投资管理有限公司</w:t>
            </w:r>
          </w:p>
        </w:tc>
        <w:tc>
          <w:tcPr>
            <w:tcW w:type="dxa" w:w="1928"/>
          </w:tcPr>
          <w:p>
            <w:pPr>
              <w:spacing w:lineRule="exact" w:line="600"/>
              <w:jc w:val="center"/>
            </w:pPr>
            <w:r/>
            <w:r>
              <w:rPr>
                <w:rFonts w:ascii="仿宋_GB2312" w:hAnsi="仿宋_GB2312" w:eastAsia="仿宋_GB2312"/>
                <w:b w:val="0"/>
                <w:color w:val="000000"/>
                <w:sz w:val="32"/>
              </w:rPr>
              <w:t>东营区属国有</w:t>
            </w:r>
          </w:p>
        </w:tc>
        <w:tc>
          <w:tcPr>
            <w:tcW w:type="dxa" w:w="1361"/>
          </w:tcPr>
          <w:p>
            <w:pPr>
              <w:spacing w:lineRule="exact" w:line="600"/>
              <w:jc w:val="center"/>
            </w:pPr>
            <w:r/>
            <w:r>
              <w:rPr>
                <w:rFonts w:ascii="仿宋_GB2312" w:hAnsi="仿宋_GB2312" w:eastAsia="仿宋_GB2312"/>
                <w:b w:val="0"/>
                <w:color w:val="000000"/>
                <w:sz w:val="32"/>
              </w:rPr>
              <w:t>55.00%</w:t>
            </w:r>
          </w:p>
        </w:tc>
        <w:tc>
          <w:tcPr>
            <w:tcW w:type="dxa" w:w="2381"/>
          </w:tcPr>
          <w:p>
            <w:pPr>
              <w:spacing w:lineRule="exact" w:line="600"/>
              <w:jc w:val="center"/>
            </w:pPr>
            <w:r/>
            <w:r>
              <w:rPr>
                <w:rFonts w:ascii="仿宋_GB2312" w:hAnsi="仿宋_GB2312" w:eastAsia="仿宋_GB2312"/>
                <w:b w:val="0"/>
                <w:color w:val="000000"/>
                <w:sz w:val="32"/>
              </w:rPr>
              <w:t>经山东威飞海洋能源科技间接控股威飞海洋</w:t>
            </w:r>
          </w:p>
        </w:tc>
      </w:tr>
      <w:tr>
        <w:tc>
          <w:tcPr>
            <w:tcW w:type="dxa" w:w="3288"/>
          </w:tcPr>
          <w:p>
            <w:pPr>
              <w:spacing w:lineRule="exact" w:line="600"/>
              <w:jc w:val="center"/>
            </w:pPr>
            <w:r/>
            <w:r>
              <w:rPr>
                <w:rFonts w:ascii="仿宋_GB2312" w:hAnsi="仿宋_GB2312" w:eastAsia="仿宋_GB2312"/>
                <w:b w:val="0"/>
                <w:color w:val="000000"/>
                <w:sz w:val="32"/>
              </w:rPr>
              <w:t>山东科瑞汇正能源科技有限公司</w:t>
            </w:r>
          </w:p>
        </w:tc>
        <w:tc>
          <w:tcPr>
            <w:tcW w:type="dxa" w:w="1928"/>
          </w:tcPr>
          <w:p>
            <w:pPr>
              <w:spacing w:lineRule="exact" w:line="600"/>
              <w:jc w:val="center"/>
            </w:pPr>
            <w:r/>
            <w:r>
              <w:rPr>
                <w:rFonts w:ascii="仿宋_GB2312" w:hAnsi="仿宋_GB2312" w:eastAsia="仿宋_GB2312"/>
                <w:b w:val="0"/>
                <w:color w:val="000000"/>
                <w:sz w:val="32"/>
              </w:rPr>
              <w:t>民营法人</w:t>
            </w:r>
          </w:p>
        </w:tc>
        <w:tc>
          <w:tcPr>
            <w:tcW w:type="dxa" w:w="1361"/>
          </w:tcPr>
          <w:p>
            <w:pPr>
              <w:spacing w:lineRule="exact" w:line="600"/>
              <w:jc w:val="center"/>
            </w:pPr>
            <w:r/>
            <w:r>
              <w:rPr>
                <w:rFonts w:ascii="仿宋_GB2312" w:hAnsi="仿宋_GB2312" w:eastAsia="仿宋_GB2312"/>
                <w:b w:val="0"/>
                <w:color w:val="000000"/>
                <w:sz w:val="32"/>
              </w:rPr>
              <w:t>25.00%</w:t>
            </w:r>
          </w:p>
        </w:tc>
        <w:tc>
          <w:tcPr>
            <w:tcW w:type="dxa" w:w="2381"/>
          </w:tcPr>
          <w:p>
            <w:pPr>
              <w:spacing w:lineRule="exact" w:line="600"/>
              <w:jc w:val="center"/>
            </w:pPr>
            <w:r/>
            <w:r>
              <w:rPr>
                <w:rFonts w:ascii="仿宋_GB2312" w:hAnsi="仿宋_GB2312" w:eastAsia="仿宋_GB2312"/>
                <w:b w:val="0"/>
                <w:color w:val="000000"/>
                <w:sz w:val="32"/>
              </w:rPr>
              <w:t>科瑞系产业方</w:t>
            </w:r>
          </w:p>
        </w:tc>
      </w:tr>
      <w:tr>
        <w:tc>
          <w:tcPr>
            <w:tcW w:type="dxa" w:w="3288"/>
          </w:tcPr>
          <w:p>
            <w:pPr>
              <w:spacing w:lineRule="exact" w:line="600"/>
              <w:jc w:val="center"/>
            </w:pPr>
            <w:r/>
            <w:r>
              <w:rPr>
                <w:rFonts w:ascii="仿宋_GB2312" w:hAnsi="仿宋_GB2312" w:eastAsia="仿宋_GB2312"/>
                <w:b w:val="0"/>
                <w:color w:val="000000"/>
                <w:sz w:val="32"/>
              </w:rPr>
              <w:t>东营鸿然/环誉/正泓（员工持股平台）</w:t>
            </w:r>
          </w:p>
        </w:tc>
        <w:tc>
          <w:tcPr>
            <w:tcW w:type="dxa" w:w="1928"/>
          </w:tcPr>
          <w:p>
            <w:pPr>
              <w:spacing w:lineRule="exact" w:line="600"/>
              <w:jc w:val="center"/>
            </w:pPr>
            <w:r/>
            <w:r>
              <w:rPr>
                <w:rFonts w:ascii="仿宋_GB2312" w:hAnsi="仿宋_GB2312" w:eastAsia="仿宋_GB2312"/>
                <w:b w:val="0"/>
                <w:color w:val="000000"/>
                <w:sz w:val="32"/>
              </w:rPr>
              <w:t>员工持股</w:t>
            </w:r>
          </w:p>
        </w:tc>
        <w:tc>
          <w:tcPr>
            <w:tcW w:type="dxa" w:w="1361"/>
          </w:tcPr>
          <w:p>
            <w:pPr>
              <w:spacing w:lineRule="exact" w:line="600"/>
              <w:jc w:val="center"/>
            </w:pPr>
            <w:r/>
            <w:r>
              <w:rPr>
                <w:rFonts w:ascii="仿宋_GB2312" w:hAnsi="仿宋_GB2312" w:eastAsia="仿宋_GB2312"/>
                <w:b w:val="0"/>
                <w:color w:val="000000"/>
                <w:sz w:val="32"/>
              </w:rPr>
              <w:t>20.00%</w:t>
            </w:r>
          </w:p>
        </w:tc>
        <w:tc>
          <w:tcPr>
            <w:tcW w:type="dxa" w:w="2381"/>
          </w:tcPr>
          <w:p>
            <w:pPr>
              <w:spacing w:lineRule="exact" w:line="600"/>
              <w:jc w:val="center"/>
            </w:pPr>
            <w:r/>
            <w:r>
              <w:rPr>
                <w:rFonts w:ascii="仿宋_GB2312" w:hAnsi="仿宋_GB2312" w:eastAsia="仿宋_GB2312"/>
                <w:b w:val="0"/>
                <w:color w:val="000000"/>
                <w:sz w:val="32"/>
              </w:rPr>
              <w:t>—</w:t>
            </w:r>
          </w:p>
        </w:tc>
      </w:tr>
      <w:tr>
        <w:tc>
          <w:tcPr>
            <w:tcW w:type="dxa" w:w="3288"/>
          </w:tcPr>
          <w:p>
            <w:pPr>
              <w:spacing w:lineRule="exact" w:line="600"/>
              <w:jc w:val="center"/>
            </w:pPr>
            <w:r/>
            <w:r>
              <w:rPr>
                <w:rFonts w:ascii="仿宋_GB2312" w:hAnsi="仿宋_GB2312" w:eastAsia="仿宋_GB2312"/>
                <w:b w:val="0"/>
                <w:color w:val="000000"/>
                <w:sz w:val="32"/>
              </w:rPr>
              <w:t>（威飞海洋能源科技合计）</w:t>
            </w:r>
          </w:p>
        </w:tc>
        <w:tc>
          <w:tcPr>
            <w:tcW w:type="dxa" w:w="1928"/>
          </w:tcPr>
          <w:p>
            <w:pPr>
              <w:spacing w:lineRule="exact" w:line="600"/>
              <w:jc w:val="center"/>
            </w:pPr>
            <w:r/>
            <w:r>
              <w:rPr>
                <w:rFonts w:ascii="仿宋_GB2312" w:hAnsi="仿宋_GB2312" w:eastAsia="仿宋_GB2312"/>
                <w:b w:val="0"/>
                <w:color w:val="000000"/>
                <w:sz w:val="32"/>
              </w:rPr>
              <w:t>—</w:t>
            </w:r>
          </w:p>
        </w:tc>
        <w:tc>
          <w:tcPr>
            <w:tcW w:type="dxa" w:w="1361"/>
          </w:tcPr>
          <w:p>
            <w:pPr>
              <w:spacing w:lineRule="exact" w:line="600"/>
              <w:jc w:val="center"/>
            </w:pPr>
            <w:r/>
            <w:r>
              <w:rPr>
                <w:rFonts w:ascii="仿宋_GB2312" w:hAnsi="仿宋_GB2312" w:eastAsia="仿宋_GB2312"/>
                <w:b w:val="0"/>
                <w:color w:val="000000"/>
                <w:sz w:val="32"/>
              </w:rPr>
              <w:t>100.00%</w:t>
            </w:r>
          </w:p>
        </w:tc>
        <w:tc>
          <w:tcPr>
            <w:tcW w:type="dxa" w:w="2381"/>
          </w:tcPr>
          <w:p>
            <w:pPr>
              <w:spacing w:lineRule="exact" w:line="600"/>
              <w:jc w:val="center"/>
            </w:pPr>
            <w:r/>
            <w:r>
              <w:rPr>
                <w:rFonts w:ascii="仿宋_GB2312" w:hAnsi="仿宋_GB2312" w:eastAsia="仿宋_GB2312"/>
                <w:b w:val="0"/>
                <w:color w:val="000000"/>
                <w:sz w:val="32"/>
              </w:rPr>
              <w:t>持有威飞海洋100%</w:t>
            </w:r>
          </w:p>
        </w:tc>
      </w:tr>
    </w:tbl>
    <w:p>
      <w:pPr>
        <w:spacing w:lineRule="exact" w:line="600" w:before="0" w:after="0"/>
        <w:ind w:firstLine="420"/>
        <w:jc w:val="both"/>
      </w:pPr>
      <w:r>
        <w:rPr>
          <w:rFonts w:ascii="仿宋_GB2312" w:hAnsi="仿宋_GB2312" w:eastAsia="仿宋_GB2312"/>
          <w:b w:val="0"/>
          <w:color w:val="000000"/>
          <w:sz w:val="32"/>
        </w:rPr>
        <w:t>国资合计（东营区产业投资55%）超过50%，公司实际控制人为东营区国有资产监督管理部门（经由东营区产业投资管理有限公司持有山东威飞海洋能源科技55%股权、进而间接控制威飞海洋），公司性质为东营区属国有控股的混合所有制企业。股权结构体现"区属国资控股＋科瑞产业方＋员工持股"特征，兼具国资信用与产业活力。</w:t>
      </w:r>
    </w:p>
    <w:p>
      <w:pPr>
        <w:spacing w:lineRule="exact" w:line="600" w:before="120" w:after="120"/>
        <w:ind w:firstLine="420"/>
        <w:jc w:val="left"/>
      </w:pPr>
      <w:r>
        <w:rPr>
          <w:rFonts w:ascii="楷体_GB2312" w:hAnsi="楷体_GB2312" w:eastAsia="楷体_GB2312"/>
          <w:b w:val="0"/>
          <w:color w:val="000000"/>
          <w:sz w:val="32"/>
        </w:rPr>
        <w:t>（三）组织架构</w:t>
      </w:r>
    </w:p>
    <w:p>
      <w:pPr>
        <w:spacing w:lineRule="exact" w:line="600" w:before="0" w:after="0"/>
        <w:ind w:firstLine="420"/>
        <w:jc w:val="both"/>
      </w:pPr>
      <w:r>
        <w:rPr>
          <w:rFonts w:ascii="仿宋_GB2312" w:hAnsi="仿宋_GB2312" w:eastAsia="仿宋_GB2312"/>
          <w:b w:val="0"/>
          <w:color w:val="000000"/>
          <w:sz w:val="32"/>
        </w:rPr>
        <w:t>公司为威飞海洋能源科技体系内的核心制造企业，邮箱域名沿用keruigroup.com，与科瑞体系存在产业协同。主要人员包括法定代表人隋中斐等。业务围绕深海油气水下生产系统与核心零部件的国产化展开。</w:t>
      </w:r>
    </w:p>
    <w:p>
      <w:pPr>
        <w:spacing w:lineRule="exact" w:line="600" w:before="0" w:after="0"/>
        <w:ind w:firstLine="420"/>
        <w:jc w:val="both"/>
      </w:pPr>
      <w:r>
        <w:rPr>
          <w:rFonts w:ascii="仿宋_GB2312" w:hAnsi="仿宋_GB2312" w:eastAsia="仿宋_GB2312"/>
          <w:b w:val="0"/>
          <w:color w:val="000000"/>
          <w:sz w:val="32"/>
        </w:rPr>
        <w:t>公司聚焦深海水下生产系统及核心零部件国产化、深海油气自动化钻采技术创新、深海油气勘探开发工程技术研发，建立"研发—制造—应用—配套"一体化创新平台，拥有3个研发制造基地。</w:t>
      </w:r>
    </w:p>
    <w:p>
      <w:pPr>
        <w:spacing w:lineRule="exact" w:line="600" w:before="120" w:after="120"/>
        <w:ind w:firstLine="420"/>
        <w:jc w:val="left"/>
      </w:pPr>
      <w:r>
        <w:rPr>
          <w:rFonts w:ascii="楷体_GB2312" w:hAnsi="楷体_GB2312" w:eastAsia="楷体_GB2312"/>
          <w:b w:val="0"/>
          <w:color w:val="000000"/>
          <w:sz w:val="32"/>
        </w:rPr>
        <w:t>（四）发展沿革</w:t>
      </w:r>
    </w:p>
    <w:p>
      <w:pPr>
        <w:spacing w:lineRule="exact" w:line="600" w:before="0" w:after="0"/>
        <w:ind w:firstLine="420"/>
        <w:jc w:val="both"/>
      </w:pPr>
      <w:r>
        <w:rPr>
          <w:rFonts w:ascii="仿宋_GB2312" w:hAnsi="仿宋_GB2312" w:eastAsia="仿宋_GB2312"/>
          <w:b w:val="0"/>
          <w:color w:val="000000"/>
          <w:sz w:val="32"/>
        </w:rPr>
        <w:t>2009年12月，公司成立，起步于海洋石油装备与深海钻探设备制造。</w:t>
      </w:r>
    </w:p>
    <w:p>
      <w:pPr>
        <w:spacing w:lineRule="exact" w:line="600" w:before="0" w:after="0"/>
        <w:ind w:firstLine="420"/>
        <w:jc w:val="both"/>
      </w:pPr>
      <w:r>
        <w:rPr>
          <w:rFonts w:ascii="仿宋_GB2312" w:hAnsi="仿宋_GB2312" w:eastAsia="仿宋_GB2312"/>
          <w:b w:val="0"/>
          <w:color w:val="000000"/>
          <w:sz w:val="32"/>
        </w:rPr>
        <w:t>历经发展，公司攻克水下采油树等"卡脖子"装备，成为国内唯一研发制造水下采油树并实现产业化应用的企业，打破国外垄断，填补国内空白。</w:t>
      </w:r>
    </w:p>
    <w:p>
      <w:pPr>
        <w:spacing w:lineRule="exact" w:line="600" w:before="0" w:after="0"/>
        <w:ind w:firstLine="420"/>
        <w:jc w:val="both"/>
      </w:pPr>
      <w:r>
        <w:rPr>
          <w:rFonts w:ascii="仿宋_GB2312" w:hAnsi="仿宋_GB2312" w:eastAsia="仿宋_GB2312"/>
          <w:b w:val="0"/>
          <w:color w:val="000000"/>
          <w:sz w:val="32"/>
        </w:rPr>
        <w:t>公司牵头建设山东省海洋油气水下技术与装备重点实验室，集中攻关2000米级水下采油树等关键技术；营销网络覆盖30个国家和地区，产品在国内多个海域实现工程化应用并走向全球。</w:t>
      </w:r>
    </w:p>
    <w:p>
      <w:pPr>
        <w:spacing w:lineRule="exact" w:line="600" w:before="120" w:after="120"/>
        <w:ind w:firstLine="420"/>
        <w:jc w:val="left"/>
      </w:pPr>
      <w:r>
        <w:rPr>
          <w:rFonts w:ascii="楷体_GB2312" w:hAnsi="楷体_GB2312" w:eastAsia="楷体_GB2312"/>
          <w:b w:val="0"/>
          <w:color w:val="000000"/>
          <w:sz w:val="32"/>
        </w:rPr>
        <w:t>（五）企业定位与主营业务</w:t>
      </w:r>
    </w:p>
    <w:p>
      <w:pPr>
        <w:spacing w:lineRule="exact" w:line="600" w:before="0" w:after="0"/>
        <w:ind w:firstLine="420"/>
        <w:jc w:val="both"/>
      </w:pPr>
      <w:r>
        <w:rPr>
          <w:rFonts w:ascii="仿宋_GB2312" w:hAnsi="仿宋_GB2312" w:eastAsia="仿宋_GB2312"/>
          <w:b w:val="0"/>
          <w:color w:val="000000"/>
          <w:sz w:val="32"/>
        </w:rPr>
        <w:t>公司战略定位为国内深海油气水下装备的链主企业与国产替代核心力量，专注于深海水下生产系统及核心零部件的研发、制造与工程化应用。</w:t>
      </w:r>
    </w:p>
    <w:p>
      <w:pPr>
        <w:spacing w:lineRule="exact" w:line="600" w:before="0" w:after="0"/>
        <w:ind w:firstLine="420"/>
        <w:jc w:val="both"/>
      </w:pPr>
      <w:r>
        <w:rPr>
          <w:rFonts w:ascii="仿宋_GB2312" w:hAnsi="仿宋_GB2312" w:eastAsia="仿宋_GB2312"/>
          <w:b w:val="0"/>
          <w:color w:val="000000"/>
          <w:sz w:val="32"/>
        </w:rPr>
        <w:t>主营业务为深海石油钻探设备、水下采油树、水下系统和作业装备、海洋工程装备、海洋平台整体式井口等高端海洋油气装备的研发、制造、销售与技术服务。</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公司业务聚焦深海油气水下装备，核心包括水下采油树、水下生产系统、海洋平台整体式井口、深海钻探设备等。因公司为非上市企业，分产品收入占比未公开披露。</w:t>
      </w:r>
    </w:p>
    <w:p>
      <w:pPr>
        <w:spacing w:lineRule="exact" w:line="600" w:before="0" w:after="0"/>
        <w:ind w:firstLine="420"/>
        <w:jc w:val="both"/>
      </w:pPr>
      <w:r>
        <w:rPr>
          <w:rFonts w:ascii="仿宋_GB2312" w:hAnsi="仿宋_GB2312" w:eastAsia="仿宋_GB2312"/>
          <w:b w:val="0"/>
          <w:color w:val="000000"/>
          <w:sz w:val="32"/>
        </w:rPr>
        <w:t>从战略定位看，水下采油树等水下生产系统为最高战略价值品类（国产替代核心），海洋平台井口与深海钻探设备为规模支撑。</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第一，水下采油树。公司标志性产品，国内唯一研发制造并实现产业化应用，是深海油气开发的核心水下装备，长期被欧美巨头垄断，国产替代战略价值极高。</w:t>
      </w:r>
    </w:p>
    <w:p>
      <w:pPr>
        <w:spacing w:lineRule="exact" w:line="600" w:before="0" w:after="0"/>
        <w:ind w:firstLine="420"/>
        <w:jc w:val="both"/>
      </w:pPr>
      <w:r>
        <w:rPr>
          <w:rFonts w:ascii="仿宋_GB2312" w:hAnsi="仿宋_GB2312" w:eastAsia="仿宋_GB2312"/>
          <w:b w:val="0"/>
          <w:color w:val="000000"/>
          <w:sz w:val="32"/>
        </w:rPr>
        <w:t>第二，水下生产系统与核心零部件。涵盖水下井口、管汇、连接系统等，攻关2000米级深水关键技术，是深海油气开发国产化的重要载体。</w:t>
      </w:r>
    </w:p>
    <w:p>
      <w:pPr>
        <w:spacing w:lineRule="exact" w:line="600" w:before="0" w:after="0"/>
        <w:ind w:firstLine="420"/>
        <w:jc w:val="both"/>
      </w:pPr>
      <w:r>
        <w:rPr>
          <w:rFonts w:ascii="仿宋_GB2312" w:hAnsi="仿宋_GB2312" w:eastAsia="仿宋_GB2312"/>
          <w:b w:val="0"/>
          <w:color w:val="000000"/>
          <w:sz w:val="32"/>
        </w:rPr>
        <w:t>第三，海洋平台整体式井口。面向海洋油气平台，2026年人民日报报道公司生产车间正组装海洋平台整体式井口，体现量产能力。</w:t>
      </w:r>
    </w:p>
    <w:p>
      <w:pPr>
        <w:spacing w:lineRule="exact" w:line="600" w:before="0" w:after="0"/>
        <w:ind w:firstLine="420"/>
        <w:jc w:val="both"/>
      </w:pPr>
      <w:r>
        <w:rPr>
          <w:rFonts w:ascii="仿宋_GB2312" w:hAnsi="仿宋_GB2312" w:eastAsia="仿宋_GB2312"/>
          <w:b w:val="0"/>
          <w:color w:val="000000"/>
          <w:sz w:val="32"/>
        </w:rPr>
        <w:t>第四，深海石油钻探设备。面向深水钻探，是公司装备体系的基础支撑。</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公司客户为国内外海洋油气运营商、油田服务公司与工程总包方，产品在国内多个海域实现工程化应用并走向全球（营销网络覆盖30国）。客户层级高、技术认证壁垒极高，一旦进入供应链便形成长期稳定合作。</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上游为特种钢材、精密铸件、水下密封件、液压电气控制系统等，深海装备对材料与零部件可靠性要求极高，部分高端部件依赖进口或国内攻关配套。依托东营石油装备产业集群与科瑞体系协同，采购体系较完善。</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产能方面，公司拥有3个研发制造基地，具备水下采油树、水下生产系统、海洋平台井口等高端装备的制造能力。</w:t>
      </w:r>
    </w:p>
    <w:p>
      <w:pPr>
        <w:spacing w:lineRule="exact" w:line="600" w:before="0" w:after="0"/>
        <w:ind w:firstLine="420"/>
        <w:jc w:val="both"/>
      </w:pPr>
      <w:r>
        <w:rPr>
          <w:rFonts w:ascii="仿宋_GB2312" w:hAnsi="仿宋_GB2312" w:eastAsia="仿宋_GB2312"/>
          <w:b w:val="0"/>
          <w:color w:val="000000"/>
          <w:sz w:val="32"/>
        </w:rPr>
        <w:t>资源方面，核心资源为山东省海洋油气水下技术与装备重点实验室（牵头建设）、2000米级水下采油树攻关能力、国内唯一产业化地位，以及东营区属国资信用背书。</w:t>
      </w:r>
    </w:p>
    <w:p>
      <w:pPr>
        <w:spacing w:lineRule="exact" w:line="600" w:before="0" w:after="0"/>
        <w:ind w:firstLine="420"/>
        <w:jc w:val="both"/>
      </w:pPr>
      <w:r>
        <w:rPr>
          <w:rFonts w:ascii="仿宋_GB2312" w:hAnsi="仿宋_GB2312" w:eastAsia="仿宋_GB2312"/>
          <w:b w:val="0"/>
          <w:color w:val="000000"/>
          <w:sz w:val="32"/>
        </w:rPr>
        <w:t>牌照资质方面，公司持有特种设备制造与安装许可、货物进出口资质，为国家高新技术企业，具备深海装备所需的严格质量与体系认证。</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公司采用"技术营销＋工程直供"模式，依托深海装备技术实力与国资信用，面向国内外海洋油气运营商直供，营销网络覆盖30国，国际化程度较高。</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经营规模方面，公司人员规模100—499人（2025年社保人数291人），注册资本2亿元，为中型海洋装备企业。作为国内唯一水下采油树产业化企业，在深海油气水下装备细分领域占据绝对国内领先地位。</w:t>
      </w:r>
    </w:p>
    <w:p>
      <w:pPr>
        <w:spacing w:lineRule="exact" w:line="600" w:before="0" w:after="0"/>
        <w:ind w:firstLine="420"/>
        <w:jc w:val="both"/>
      </w:pPr>
      <w:r>
        <w:rPr>
          <w:rFonts w:ascii="仿宋_GB2312" w:hAnsi="仿宋_GB2312" w:eastAsia="仿宋_GB2312"/>
          <w:b w:val="0"/>
          <w:color w:val="000000"/>
          <w:sz w:val="32"/>
        </w:rPr>
        <w:t>市场地位方面，公司是东营深海装备链主、国内深海油气水下装备国产替代核心，牵头省级重点实验室、攻关2000米级关键技术，战略价值极高。</w:t>
      </w:r>
    </w:p>
    <w:p>
      <w:pPr>
        <w:spacing w:lineRule="exact" w:line="600" w:before="0" w:after="0"/>
        <w:ind w:firstLine="420"/>
        <w:jc w:val="both"/>
      </w:pPr>
      <w:r>
        <w:rPr>
          <w:rFonts w:ascii="仿宋_GB2312" w:hAnsi="仿宋_GB2312" w:eastAsia="仿宋_GB2312"/>
          <w:b w:val="0"/>
          <w:color w:val="000000"/>
          <w:sz w:val="32"/>
        </w:rPr>
        <w:t>需说明：公司为非上市国有控股混合所有制企业，单体经审计财务数据未公开披露，本节人员、注册资本等数据来自公开工商与报道口径，不作精确量化推定。</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（一）数据可获取性说明</w:t>
      </w:r>
    </w:p>
    <w:p>
      <w:pPr>
        <w:spacing w:lineRule="exact" w:line="600" w:before="0" w:after="0"/>
        <w:ind w:firstLine="420"/>
        <w:jc w:val="both"/>
      </w:pPr>
      <w:r>
        <w:rPr>
          <w:rFonts w:ascii="仿宋_GB2312" w:hAnsi="仿宋_GB2312" w:eastAsia="仿宋_GB2312"/>
          <w:b w:val="0"/>
          <w:color w:val="000000"/>
          <w:sz w:val="32"/>
        </w:rPr>
        <w:t>威飞海洋装备制造有限公司为非上市企业（东营区属国有控股混合所有制），其单体经审计财务报表未向社会公开披露，亦无合并上市公司可参照。据此，本报告无法提供经审计的财务科目数据，不对未披露指标作推定或估算，特此说明。</w:t>
      </w:r>
    </w:p>
    <w:p>
      <w:pPr>
        <w:spacing w:lineRule="exact" w:line="600" w:before="120" w:after="120"/>
        <w:ind w:firstLine="420"/>
        <w:jc w:val="left"/>
      </w:pPr>
      <w:r>
        <w:rPr>
          <w:rFonts w:ascii="楷体_GB2312" w:hAnsi="楷体_GB2312" w:eastAsia="楷体_GB2312"/>
          <w:b w:val="0"/>
          <w:color w:val="000000"/>
          <w:sz w:val="32"/>
        </w:rPr>
        <w:t>（二）可公开印证的经营规模</w:t>
      </w:r>
    </w:p>
    <w:p>
      <w:pPr>
        <w:spacing w:lineRule="exact" w:line="600" w:before="0" w:after="0"/>
        <w:ind w:firstLine="420"/>
        <w:jc w:val="both"/>
      </w:pPr>
      <w:r>
        <w:rPr>
          <w:rFonts w:ascii="仿宋_GB2312" w:hAnsi="仿宋_GB2312" w:eastAsia="仿宋_GB2312"/>
          <w:b w:val="0"/>
          <w:color w:val="000000"/>
          <w:sz w:val="32"/>
        </w:rPr>
        <w:t>基于公开工商与报道信息，可确认以下非审计经营规模：注册资本20000万元、人员规模100—499人（2025年社保291人）、3个研发制造基地、营销网络覆盖30国、牵头山东省海洋油气水下技术与装备重点实验室、攻关2000米级水下采油树。上述数据为工商与报道口径，不代表经审计财务数据。</w:t>
      </w:r>
    </w:p>
    <w:p>
      <w:pPr>
        <w:spacing w:lineRule="exact" w:line="600" w:before="120" w:after="120"/>
        <w:ind w:firstLine="420"/>
        <w:jc w:val="left"/>
      </w:pPr>
      <w:r>
        <w:rPr>
          <w:rFonts w:ascii="楷体_GB2312" w:hAnsi="楷体_GB2312" w:eastAsia="楷体_GB2312"/>
          <w:b w:val="0"/>
          <w:color w:val="000000"/>
          <w:sz w:val="32"/>
        </w:rPr>
        <w:t>（三）财务特征研判</w:t>
      </w:r>
    </w:p>
    <w:p>
      <w:pPr>
        <w:spacing w:lineRule="exact" w:line="600" w:before="0" w:after="0"/>
        <w:ind w:firstLine="420"/>
        <w:jc w:val="both"/>
      </w:pPr>
      <w:r>
        <w:rPr>
          <w:rFonts w:ascii="仿宋_GB2312" w:hAnsi="仿宋_GB2312" w:eastAsia="仿宋_GB2312"/>
          <w:b w:val="0"/>
          <w:color w:val="000000"/>
          <w:sz w:val="32"/>
        </w:rPr>
        <w:t>结合行业属性与股权背景，可研判（非精确数据）：第一，深海装备属重资产、高研发投入行业，水下采油树等装备单值高、制造投入大；第二，作为国有控股企业，融资可得性与信用资质优于纯民营，但需履行国资监管与"三重一大"决策程序；第三，深海装备客户认证周期长、回款节奏受海洋工程项目周期影响。真实盈利、负债与现金流需在取得经审计财务报表后核实。</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公司为国有控股混合所有制企业，建立"股东会—董事会—经理层"治理架构。东营区产业投资（55%）作为第一大股东派驻国有董事，科瑞产业方与员工持股平台参与，形成国资与产业方互补治理。</w:t>
      </w:r>
    </w:p>
    <w:p>
      <w:pPr>
        <w:spacing w:lineRule="exact" w:line="600" w:before="0" w:after="0"/>
        <w:ind w:firstLine="420"/>
        <w:jc w:val="both"/>
      </w:pPr>
      <w:r>
        <w:rPr>
          <w:rFonts w:ascii="仿宋_GB2312" w:hAnsi="仿宋_GB2312" w:eastAsia="仿宋_GB2312"/>
          <w:b w:val="0"/>
          <w:color w:val="000000"/>
          <w:sz w:val="32"/>
        </w:rPr>
        <w:t>作为国有控股企业，公司应设立党组织，落实"三重一大"集体决策制度，重大投资、融资、资产处置须履行党组织前置研究讨论与董事会/股东会决策程序，并接受东营区国资委体系的国有资产监管。</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公司法定代表人隋中斐，管理团队兼具国资股东代表与科瑞产业方背景，融合国资规范与深海装备产业经验。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公司作为国有控股深海装备企业，需执行国企内控与合规管理要求，深海装备涉及特种设备、安全生产、海洋工程等高合规要求，体系较完善。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公司员工291人（2025年社保），在深海装备企业中规模适中，研发与工程技术人员支撑水下采油树等高端装备攻关。作为东营深海装备链主，是地方高端装备人才重要承载。</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一是水下采油树国产化壁垒。国内唯一研发制造水下采油树并实现产业化应用的企业，打破欧美垄断，国产替代战略价值极高，技术壁垒与先发优势显著。</w:t>
      </w:r>
    </w:p>
    <w:p>
      <w:pPr>
        <w:spacing w:lineRule="exact" w:line="600" w:before="0" w:after="0"/>
        <w:ind w:firstLine="420"/>
        <w:jc w:val="both"/>
      </w:pPr>
      <w:r>
        <w:rPr>
          <w:rFonts w:ascii="仿宋_GB2312" w:hAnsi="仿宋_GB2312" w:eastAsia="仿宋_GB2312"/>
          <w:b w:val="0"/>
          <w:color w:val="000000"/>
          <w:sz w:val="32"/>
        </w:rPr>
        <w:t>二是省级重点实验室与攻关能力。牵头建设山东省海洋油气水下技术与装备重点实验室，攻关2000米级水下采油树，研发平台与人才储备突出。</w:t>
      </w:r>
    </w:p>
    <w:p>
      <w:pPr>
        <w:spacing w:lineRule="exact" w:line="600" w:before="0" w:after="0"/>
        <w:ind w:firstLine="420"/>
        <w:jc w:val="both"/>
      </w:pPr>
      <w:r>
        <w:rPr>
          <w:rFonts w:ascii="仿宋_GB2312" w:hAnsi="仿宋_GB2312" w:eastAsia="仿宋_GB2312"/>
          <w:b w:val="0"/>
          <w:color w:val="000000"/>
          <w:sz w:val="32"/>
        </w:rPr>
        <w:t>三是国资信用与产业协同。东营区属国资控股带来信用与政策资源，科瑞产业方提供装备制造协同，员工持股保留活力。</w:t>
      </w:r>
    </w:p>
    <w:p>
      <w:pPr>
        <w:spacing w:lineRule="exact" w:line="600" w:before="0" w:after="0"/>
        <w:ind w:firstLine="420"/>
        <w:jc w:val="both"/>
      </w:pPr>
      <w:r>
        <w:rPr>
          <w:rFonts w:ascii="仿宋_GB2312" w:hAnsi="仿宋_GB2312" w:eastAsia="仿宋_GB2312"/>
          <w:b w:val="0"/>
          <w:color w:val="000000"/>
          <w:sz w:val="32"/>
        </w:rPr>
        <w:t>四是客户认证壁垒。深海装备客户认证极严、替换成本高，一旦工程化应用便形成长期壁垒。</w:t>
      </w:r>
    </w:p>
    <w:p>
      <w:pPr>
        <w:spacing w:lineRule="exact" w:line="600" w:before="0" w:after="0"/>
        <w:ind w:firstLine="420"/>
        <w:jc w:val="both"/>
      </w:pPr>
      <w:r>
        <w:rPr>
          <w:rFonts w:ascii="仿宋_GB2312" w:hAnsi="仿宋_GB2312" w:eastAsia="仿宋_GB2312"/>
          <w:b w:val="0"/>
          <w:color w:val="000000"/>
          <w:sz w:val="32"/>
        </w:rPr>
        <w:t>五是基地与全球网络。3个研发制造基地、营销网络覆盖30国，具备交付与出海能力。</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第一，海洋油气周期与油价风险。深海装备需求与全球海洋油气资本开支高度相关，油价下行将压制需求。</w:t>
      </w:r>
    </w:p>
    <w:p>
      <w:pPr>
        <w:spacing w:lineRule="exact" w:line="600" w:before="0" w:after="0"/>
        <w:ind w:firstLine="420"/>
        <w:jc w:val="both"/>
      </w:pPr>
      <w:r>
        <w:rPr>
          <w:rFonts w:ascii="仿宋_GB2312" w:hAnsi="仿宋_GB2312" w:eastAsia="仿宋_GB2312"/>
          <w:b w:val="0"/>
          <w:color w:val="000000"/>
          <w:sz w:val="32"/>
        </w:rPr>
        <w:t>第二，地缘政治与海外准入风险。营销网络覆盖30国，受国际局势与部分国家海洋工程准入限制影响。</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第一，技术研发与产业化风险。2000米级水下采油树等攻关难度大，若研发或认证不及预期，影响战略放量。</w:t>
      </w:r>
    </w:p>
    <w:p>
      <w:pPr>
        <w:spacing w:lineRule="exact" w:line="600" w:before="0" w:after="0"/>
        <w:ind w:firstLine="420"/>
        <w:jc w:val="both"/>
      </w:pPr>
      <w:r>
        <w:rPr>
          <w:rFonts w:ascii="仿宋_GB2312" w:hAnsi="仿宋_GB2312" w:eastAsia="仿宋_GB2312"/>
          <w:b w:val="0"/>
          <w:color w:val="000000"/>
          <w:sz w:val="32"/>
        </w:rPr>
        <w:t>第二，重资产与项目周期风险。深海装备项目周期长、回款慢，资本开支与存货占用大。</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财务透明度不足风险。单体财务未公开披露，外部授信需通过国资协同或专项尽调获取真实财务信息。</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深海装备涉及特种设备、安全生产、海洋工程等强监管，安全与合规为实质性风险点；公开口径司法风险相对较低，授信前仍建议核查。</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混合所有制下国资与科瑞产业方协调需持续理顺；深海装备技术密集，高端人才保留是关键。</w:t>
      </w:r>
    </w:p>
    <w:p>
      <w:pPr>
        <w:spacing w:lineRule="exact" w:line="600" w:before="120" w:after="120"/>
        <w:ind w:firstLine="420"/>
        <w:jc w:val="left"/>
      </w:pPr>
      <w:r>
        <w:rPr>
          <w:rFonts w:ascii="楷体_GB2312" w:hAnsi="楷体_GB2312" w:eastAsia="楷体_GB2312"/>
          <w:b w:val="0"/>
          <w:color w:val="000000"/>
          <w:sz w:val="32"/>
        </w:rPr>
        <w:t>（六）现有应对措施</w:t>
      </w:r>
    </w:p>
    <w:p>
      <w:pPr>
        <w:spacing w:lineRule="exact" w:line="600" w:before="0" w:after="0"/>
        <w:ind w:firstLine="420"/>
        <w:jc w:val="both"/>
      </w:pPr>
      <w:r>
        <w:rPr>
          <w:rFonts w:ascii="仿宋_GB2312" w:hAnsi="仿宋_GB2312" w:eastAsia="仿宋_GB2312"/>
          <w:b w:val="0"/>
          <w:color w:val="000000"/>
          <w:sz w:val="32"/>
        </w:rPr>
        <w:t>公司应对措施包括：一是持续攻关2000米级水下采油树等核心技术；二是依托国资信用优化融资；三是拓展海外网络、分散市场风险；四是深化与科瑞体系产业协同。</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（一）融资需求总体判断</w:t>
      </w:r>
    </w:p>
    <w:p>
      <w:pPr>
        <w:spacing w:lineRule="exact" w:line="600" w:before="0" w:after="0"/>
        <w:ind w:firstLine="420"/>
        <w:jc w:val="both"/>
      </w:pPr>
      <w:r>
        <w:rPr>
          <w:rFonts w:ascii="仿宋_GB2312" w:hAnsi="仿宋_GB2312" w:eastAsia="仿宋_GB2312"/>
          <w:b w:val="0"/>
          <w:color w:val="000000"/>
          <w:sz w:val="32"/>
        </w:rPr>
        <w:t>公司为国有控股、重资产、高研发的深海装备链主，水下采油树等装备研发与产业化、3个基地建设意味着持续的资本开支与研发资金需求。作为国有控股企业，银行授信相对便利，但山东投资可围绕融资租赁、供应链金融与研发融资差异化切入。</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公司面向国内外海洋油气运营商的销售形成一定应收账款，可开展国内保理；出口业务可联合中信保开展出口保理，覆盖海外买方信用风险。</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向上游，公司年采购特种钢材、精密铸件、水下密封件等规模大，可为上游供应商提供采购端融资与应收账款确权；以威飞海洋为核心企业，为其下游配套中小企业提供基于真实交易的采购融资，协同价值较高。</w:t>
      </w:r>
    </w:p>
    <w:p>
      <w:pPr>
        <w:spacing w:lineRule="exact" w:line="600" w:before="120" w:after="120"/>
        <w:ind w:firstLine="420"/>
        <w:jc w:val="left"/>
      </w:pPr>
      <w:r>
        <w:rPr>
          <w:rFonts w:ascii="楷体_GB2312" w:hAnsi="楷体_GB2312" w:eastAsia="楷体_GB2312"/>
          <w:b w:val="0"/>
          <w:color w:val="000000"/>
          <w:sz w:val="32"/>
        </w:rPr>
        <w:t>（四）融资租赁（重点推荐）</w:t>
      </w:r>
    </w:p>
    <w:p>
      <w:pPr>
        <w:spacing w:lineRule="exact" w:line="600" w:before="0" w:after="0"/>
        <w:ind w:firstLine="420"/>
        <w:jc w:val="both"/>
      </w:pPr>
      <w:r>
        <w:rPr>
          <w:rFonts w:ascii="仿宋_GB2312" w:hAnsi="仿宋_GB2312" w:eastAsia="仿宋_GB2312"/>
          <w:b w:val="0"/>
          <w:color w:val="000000"/>
          <w:sz w:val="32"/>
        </w:rPr>
        <w:t>融资租赁最契合公司需求：水下采油树、深海钻探、海洋平台井口等装备与产线单值高，可通过直接租赁缓解研发与产能建设的资本开支压力；存量设备可通过售后回租盘活。承租人为国有控股企业、战略价值高，风险相对可控。建议以"新增设备直租＋存量回租"组合介入。</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小贷对本公司规模过小，适用方向为上游中小配套企业（精密铸锻、密封件、物流）的周转融资，单户50万—500万元，依托供应链金融统一开展。</w:t>
      </w:r>
    </w:p>
    <w:p>
      <w:pPr>
        <w:spacing w:lineRule="exact" w:line="600" w:before="120" w:after="120"/>
        <w:ind w:firstLine="420"/>
        <w:jc w:val="left"/>
      </w:pPr>
      <w:r>
        <w:rPr>
          <w:rFonts w:ascii="楷体_GB2312" w:hAnsi="楷体_GB2312" w:eastAsia="楷体_GB2312"/>
          <w:b w:val="0"/>
          <w:color w:val="000000"/>
          <w:sz w:val="32"/>
        </w:rPr>
        <w:t>（六）综合建议与风控要点</w:t>
      </w:r>
    </w:p>
    <w:p>
      <w:pPr>
        <w:spacing w:lineRule="exact" w:line="600" w:before="0" w:after="0"/>
        <w:ind w:firstLine="420"/>
        <w:jc w:val="both"/>
      </w:pPr>
      <w:r>
        <w:rPr>
          <w:rFonts w:ascii="仿宋_GB2312" w:hAnsi="仿宋_GB2312" w:eastAsia="仿宋_GB2312"/>
          <w:b w:val="0"/>
          <w:color w:val="000000"/>
          <w:sz w:val="32"/>
        </w:rPr>
        <w:t>业务优先级：第一，融资租赁（研发与产能设备直租＋存量回租），需求最真实、战略价值最高；第二，供应链金融（上下游链式融资）；第三，保理（应收及出口保理）；第四，小贷仅面向中小配套主体。</w:t>
      </w:r>
    </w:p>
    <w:p>
      <w:pPr>
        <w:spacing w:lineRule="exact" w:line="600" w:before="0" w:after="0"/>
        <w:ind w:firstLine="420"/>
        <w:jc w:val="both"/>
      </w:pPr>
      <w:r>
        <w:rPr>
          <w:rFonts w:ascii="仿宋_GB2312" w:hAnsi="仿宋_GB2312" w:eastAsia="仿宋_GB2312"/>
          <w:b w:val="0"/>
          <w:color w:val="000000"/>
          <w:sz w:val="32"/>
        </w:rPr>
        <w:t>风控要点：一是通过东营区产业投资协同取得公司经审计或真实财务数据；二是关注深海装备研发与产业化进度、2000米级攻关进展；三是核查安全环保与合规；四是落实国资"三重一大"决策下的用信审批链条；五是对租赁设备办理物权登记与保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威飞海洋装备制造有限公司是东营深海装备链主、国内唯一研发制造水下采油树并实现产业化应用的企业，东营区属国资控股的混合所有制深海油气装备制造商，牵头山东省海洋油气水下技术与装备重点实验室、攻关2000米级关键技术，战略价值极高。</w:t>
      </w:r>
    </w:p>
    <w:p>
      <w:pPr>
        <w:spacing w:lineRule="exact" w:line="600" w:before="0" w:after="0"/>
        <w:ind w:firstLine="420"/>
        <w:jc w:val="both"/>
      </w:pPr>
      <w:r>
        <w:rPr>
          <w:rFonts w:ascii="仿宋_GB2312" w:hAnsi="仿宋_GB2312" w:eastAsia="仿宋_GB2312"/>
          <w:b w:val="0"/>
          <w:color w:val="000000"/>
          <w:sz w:val="32"/>
        </w:rPr>
        <w:t>公司核心优势为"水下采油树国产化壁垒+省级重点实验室+国资信用+全球网络"；主要短板是重资产高研发、财务透明度不足、深海装备研发与产业化周期长。</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发展主线：一是2000米级水下采油树等核心技术攻关与产业化放量，巩固国产替代核心地位；二是依托国资信用与科瑞协同优化资本结构；三是拓展海外网络，参与全球深海油气开发。中长期看，若国内深海油气开发提速，公司有望由区域链主成长为全国深海装备领军企业。</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一是海洋油气周期与油价风险；二是2000米级攻关与产业化不确定性；三是重资产高研发的资金压力；四是财务透明度与人才保留。</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结论：威飞海洋是兼具"水下采油树国产化"与"国资信用"的稀缺战略资产，战略价值极高、信用风险低，是山东投资在东营深海装备领域应当重点争取的旗舰级战略客户。</w:t>
      </w:r>
    </w:p>
    <w:p>
      <w:pPr>
        <w:spacing w:lineRule="exact" w:line="600" w:before="0" w:after="0"/>
        <w:ind w:firstLine="420"/>
        <w:jc w:val="both"/>
      </w:pPr>
      <w:r>
        <w:rPr>
          <w:rFonts w:ascii="仿宋_GB2312" w:hAnsi="仿宋_GB2312" w:eastAsia="仿宋_GB2312"/>
          <w:b w:val="0"/>
          <w:color w:val="000000"/>
          <w:sz w:val="32"/>
        </w:rPr>
        <w:t>对企业的建议：一是坚定2000米级水下采油树攻关与产业化；二是加强研发与量产协同；三是提升财务透明度；四是强化高端人才引进与保留。</w:t>
      </w:r>
    </w:p>
    <w:p>
      <w:pPr>
        <w:spacing w:lineRule="exact" w:line="600" w:before="0" w:after="0"/>
        <w:ind w:firstLine="420"/>
        <w:jc w:val="both"/>
      </w:pPr>
      <w:r>
        <w:rPr>
          <w:rFonts w:ascii="仿宋_GB2312" w:hAnsi="仿宋_GB2312" w:eastAsia="仿宋_GB2312"/>
          <w:b w:val="0"/>
          <w:color w:val="000000"/>
          <w:sz w:val="32"/>
        </w:rPr>
        <w:t>对山东投资的建议：将威飞海洋列为集群内最高优先级的旗舰战略客户。近期以融资租赁（研发与产能设备直租＋存量回租）介入其装备与产线建设，中期以供应链金融（上下游链式融资）增强生态绑定。合作定位上发挥省属平台产业与金融协同，协助对接省内海工、油气下游客户，并须落实国资"三重一大"审批与真实财务核查，把控深海装备研发与产业化风险。</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本报告工商登记信息（统一社会信用代码、成立时间、法定代表人、注册资本、企业类型、登记状态、经营范围、注册地址、社保人数、资质）来源于国家企业信用信息公示系统及天眼查、企查查公开快照。</w:t>
      </w:r>
    </w:p>
    <w:p>
      <w:pPr>
        <w:spacing w:lineRule="exact" w:line="600" w:before="0" w:after="0"/>
        <w:ind w:firstLine="420"/>
        <w:jc w:val="both"/>
      </w:pPr>
      <w:r>
        <w:rPr>
          <w:rFonts w:ascii="仿宋_GB2312" w:hAnsi="仿宋_GB2312" w:eastAsia="仿宋_GB2312"/>
          <w:b w:val="0"/>
          <w:color w:val="000000"/>
          <w:sz w:val="32"/>
        </w:rPr>
        <w:t>股权结构与实际控制人信息（山东威飞海洋能源科技100%持股、东营区产业投资55%、科瑞汇正25%、员工持股20%，国资实际控制）来源于公开工商信息与股权穿透数据。</w:t>
      </w:r>
    </w:p>
    <w:p>
      <w:pPr>
        <w:spacing w:lineRule="exact" w:line="600" w:before="0" w:after="0"/>
        <w:ind w:firstLine="420"/>
        <w:jc w:val="both"/>
      </w:pPr>
      <w:r>
        <w:rPr>
          <w:rFonts w:ascii="仿宋_GB2312" w:hAnsi="仿宋_GB2312" w:eastAsia="仿宋_GB2312"/>
          <w:b w:val="0"/>
          <w:color w:val="000000"/>
          <w:sz w:val="32"/>
        </w:rPr>
        <w:t>产品与技术信息（国内唯一水下采油树产业化、山东省海洋油气水下技术与装备重点实验室、2000米级攻关、3个研发制造基地、营销网络覆盖30国、海洋平台整体式井口）来源于人民日报等公开报道及公司公开信息。</w:t>
      </w:r>
    </w:p>
    <w:p>
      <w:pPr>
        <w:spacing w:lineRule="exact" w:line="600" w:before="0" w:after="0"/>
        <w:ind w:firstLine="420"/>
        <w:jc w:val="both"/>
      </w:pPr>
      <w:r>
        <w:rPr>
          <w:rFonts w:ascii="仿宋_GB2312" w:hAnsi="仿宋_GB2312" w:eastAsia="仿宋_GB2312"/>
          <w:b w:val="0"/>
          <w:color w:val="000000"/>
          <w:sz w:val="32"/>
        </w:rPr>
        <w:t>财务数据特别说明：威飞海洋装备制造有限公司为非上市国有控股混合所有制企业，单体经审计财务报表未公开披露，故本报告未列示具体财务科目数据，亦不作推定；文中注册资本、人员等数据来自公开工商与报道口径，未经审计验证。以上信息统计时点截至2026年8月公开可查范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