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东营市东营区石油钻采技术服务特色产业集群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山东科瑞油气装备有限公司企业分析报告</w:t>
      </w:r>
    </w:p>
    <w:p>
      <w:pPr>
        <w:spacing w:lineRule="exact" w:line="600" w:before="0" w:after="0"/>
        <w:jc w:val="left"/>
      </w:pPr>
      <w:r>
        <w:rPr>
          <w:rFonts w:ascii="仿宋_GB2312" w:hAnsi="仿宋_GB2312" w:eastAsia="仿宋_GB2312"/>
          <w:b w:val="0"/>
          <w:color w:val="000000"/>
          <w:sz w:val="28"/>
        </w:rPr>
        <w:t>（说明：山东科瑞油气装备有限公司为东营市石油钻采技术服务特色产业集群的链主企业，系东营市属国有资本参股的混合所有制企业。经核查国家企业信用信息公示系统、天眼查、爱企查、企查查公开快照、科瑞集团官网（www.keruigroup.com）及公开报道，公司为非上市企业，财务数据未公开披露。本报告文件名与集群名录保持一致，分析对象为山东科瑞油气装备有限公司。本报告数据来源于国家企业信用信息公示系统、天眼查/爱企查/企查查公开快照、科瑞集团官网及山东省科技厅等公开信息，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山东科瑞油气装备有限公司成立于2013年5月16日（曾用名山东科瑞泵业有限公司），统一社会信用代码为91370500068734377G，工商注册号370500200021514，组织机构代码06873437-7，纳税人识别号91370500068734377G。</w:t>
      </w:r>
    </w:p>
    <w:p>
      <w:pPr>
        <w:spacing w:lineRule="exact" w:line="600" w:before="0" w:after="0"/>
        <w:ind w:firstLine="420"/>
        <w:jc w:val="both"/>
      </w:pPr>
      <w:r>
        <w:rPr>
          <w:rFonts w:ascii="仿宋_GB2312" w:hAnsi="仿宋_GB2312" w:eastAsia="仿宋_GB2312"/>
          <w:b w:val="0"/>
          <w:color w:val="000000"/>
          <w:sz w:val="32"/>
        </w:rPr>
        <w:t>公司法定代表人为徐教礼（董事长），登记机关为东营市东营区市场监督管理局，企业类型为其他有限责任公司，登记状态为存续，营业期限自2013年5月16日起无固定期限，纳税人资质为增值税一般纳税人。</w:t>
      </w:r>
    </w:p>
    <w:p>
      <w:pPr>
        <w:spacing w:lineRule="exact" w:line="600" w:before="0" w:after="0"/>
        <w:ind w:firstLine="420"/>
        <w:jc w:val="both"/>
      </w:pPr>
      <w:r>
        <w:rPr>
          <w:rFonts w:ascii="仿宋_GB2312" w:hAnsi="仿宋_GB2312" w:eastAsia="仿宋_GB2312"/>
          <w:b w:val="0"/>
          <w:color w:val="000000"/>
          <w:sz w:val="32"/>
        </w:rPr>
        <w:t>公司注册资本为39000万元人民币，实缴资本39000万元（已到位），超过99%的山东省同行。注册地址与生产经营地址位于山东省东营市东营区南二路267号，所属行业为专用设备制造业—采矿、冶金、建筑专用设备制造，企业规模认定为中型企业（规模以上工业）。</w:t>
      </w:r>
    </w:p>
    <w:p>
      <w:pPr>
        <w:spacing w:lineRule="exact" w:line="600" w:before="0" w:after="0"/>
        <w:ind w:firstLine="420"/>
        <w:jc w:val="both"/>
      </w:pPr>
      <w:r>
        <w:rPr>
          <w:rFonts w:ascii="仿宋_GB2312" w:hAnsi="仿宋_GB2312" w:eastAsia="仿宋_GB2312"/>
          <w:b w:val="0"/>
          <w:color w:val="000000"/>
          <w:sz w:val="32"/>
        </w:rPr>
        <w:t>经营范围涵盖石油钻采专用设备制造与修理、深海石油钻探设备制造与销售、机械设备研发销售、气体压缩机械制造、特种设备制造与安装、道路机动车辆生产、检验检测、进出口代理、石油天然气技术服务等，资质体系完整，是综合性高端油气能源装备制造商。</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股权结构如下：东营市财金投资集团有限公司（东营市属国资）持股48.4615%、山东科瑞能源设备有限公司（民营）持股43.8462%、东营市新动能投资管理有限公司（东营市财金全资）持股5.1282%、东营邦瑞企业管理中心（有限合伙，员工持股）持股2.5641%。</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175"/>
          </w:tcPr>
          <w:p>
            <w:pPr>
              <w:spacing w:lineRule="exact" w:line="600"/>
              <w:jc w:val="center"/>
            </w:pPr>
            <w:r/>
            <w:r>
              <w:rPr>
                <w:rFonts w:ascii="黑体" w:hAnsi="黑体" w:eastAsia="黑体"/>
                <w:b/>
                <w:color w:val="000000"/>
                <w:sz w:val="32"/>
              </w:rPr>
              <w:t>股东名称</w:t>
            </w:r>
          </w:p>
        </w:tc>
        <w:tc>
          <w:tcPr>
            <w:tcW w:type="dxa" w:w="2041"/>
          </w:tcPr>
          <w:p>
            <w:pPr>
              <w:spacing w:lineRule="exact" w:line="600"/>
              <w:jc w:val="center"/>
            </w:pPr>
            <w:r/>
            <w:r>
              <w:rPr>
                <w:rFonts w:ascii="黑体" w:hAnsi="黑体" w:eastAsia="黑体"/>
                <w:b/>
                <w:color w:val="000000"/>
                <w:sz w:val="32"/>
              </w:rPr>
              <w:t>股东性质</w:t>
            </w:r>
          </w:p>
        </w:tc>
        <w:tc>
          <w:tcPr>
            <w:tcW w:type="dxa" w:w="1361"/>
          </w:tcPr>
          <w:p>
            <w:pPr>
              <w:spacing w:lineRule="exact" w:line="600"/>
              <w:jc w:val="center"/>
            </w:pPr>
            <w:r/>
            <w:r>
              <w:rPr>
                <w:rFonts w:ascii="黑体" w:hAnsi="黑体" w:eastAsia="黑体"/>
                <w:b/>
                <w:color w:val="000000"/>
                <w:sz w:val="32"/>
              </w:rPr>
              <w:t>持股比例</w:t>
            </w:r>
          </w:p>
        </w:tc>
        <w:tc>
          <w:tcPr>
            <w:tcW w:type="dxa" w:w="2381"/>
          </w:tcPr>
          <w:p>
            <w:pPr>
              <w:spacing w:lineRule="exact" w:line="600"/>
              <w:jc w:val="center"/>
            </w:pPr>
            <w:r/>
            <w:r>
              <w:rPr>
                <w:rFonts w:ascii="黑体" w:hAnsi="黑体" w:eastAsia="黑体"/>
                <w:b/>
                <w:color w:val="000000"/>
                <w:sz w:val="32"/>
              </w:rPr>
              <w:t>备注</w:t>
            </w:r>
          </w:p>
        </w:tc>
      </w:tr>
      <w:tr>
        <w:tc>
          <w:tcPr>
            <w:tcW w:type="dxa" w:w="3175"/>
          </w:tcPr>
          <w:p>
            <w:pPr>
              <w:spacing w:lineRule="exact" w:line="600"/>
              <w:jc w:val="center"/>
            </w:pPr>
            <w:r/>
            <w:r>
              <w:rPr>
                <w:rFonts w:ascii="仿宋_GB2312" w:hAnsi="仿宋_GB2312" w:eastAsia="仿宋_GB2312"/>
                <w:b w:val="0"/>
                <w:color w:val="000000"/>
                <w:sz w:val="32"/>
              </w:rPr>
              <w:t>东营市财金投资集团有限公司</w:t>
            </w:r>
          </w:p>
        </w:tc>
        <w:tc>
          <w:tcPr>
            <w:tcW w:type="dxa" w:w="2041"/>
          </w:tcPr>
          <w:p>
            <w:pPr>
              <w:spacing w:lineRule="exact" w:line="600"/>
              <w:jc w:val="center"/>
            </w:pPr>
            <w:r/>
            <w:r>
              <w:rPr>
                <w:rFonts w:ascii="仿宋_GB2312" w:hAnsi="仿宋_GB2312" w:eastAsia="仿宋_GB2312"/>
                <w:b w:val="0"/>
                <w:color w:val="000000"/>
                <w:sz w:val="32"/>
              </w:rPr>
              <w:t>东营市属国有控股</w:t>
            </w:r>
          </w:p>
        </w:tc>
        <w:tc>
          <w:tcPr>
            <w:tcW w:type="dxa" w:w="1361"/>
          </w:tcPr>
          <w:p>
            <w:pPr>
              <w:spacing w:lineRule="exact" w:line="600"/>
              <w:jc w:val="center"/>
            </w:pPr>
            <w:r/>
            <w:r>
              <w:rPr>
                <w:rFonts w:ascii="仿宋_GB2312" w:hAnsi="仿宋_GB2312" w:eastAsia="仿宋_GB2312"/>
                <w:b w:val="0"/>
                <w:color w:val="000000"/>
                <w:sz w:val="32"/>
              </w:rPr>
              <w:t>48.4615%</w:t>
            </w:r>
          </w:p>
        </w:tc>
        <w:tc>
          <w:tcPr>
            <w:tcW w:type="dxa" w:w="2381"/>
          </w:tcPr>
          <w:p>
            <w:pPr>
              <w:spacing w:lineRule="exact" w:line="600"/>
              <w:jc w:val="center"/>
            </w:pPr>
            <w:r/>
            <w:r>
              <w:rPr>
                <w:rFonts w:ascii="仿宋_GB2312" w:hAnsi="仿宋_GB2312" w:eastAsia="仿宋_GB2312"/>
                <w:b w:val="0"/>
                <w:color w:val="000000"/>
                <w:sz w:val="32"/>
              </w:rPr>
              <w:t>第一大股东，东营市财政局下属</w:t>
            </w:r>
          </w:p>
        </w:tc>
      </w:tr>
      <w:tr>
        <w:tc>
          <w:tcPr>
            <w:tcW w:type="dxa" w:w="3175"/>
          </w:tcPr>
          <w:p>
            <w:pPr>
              <w:spacing w:lineRule="exact" w:line="600"/>
              <w:jc w:val="center"/>
            </w:pPr>
            <w:r/>
            <w:r>
              <w:rPr>
                <w:rFonts w:ascii="仿宋_GB2312" w:hAnsi="仿宋_GB2312" w:eastAsia="仿宋_GB2312"/>
                <w:b w:val="0"/>
                <w:color w:val="000000"/>
                <w:sz w:val="32"/>
              </w:rPr>
              <w:t>山东科瑞能源设备有限公司</w:t>
            </w:r>
          </w:p>
        </w:tc>
        <w:tc>
          <w:tcPr>
            <w:tcW w:type="dxa" w:w="2041"/>
          </w:tcPr>
          <w:p>
            <w:pPr>
              <w:spacing w:lineRule="exact" w:line="600"/>
              <w:jc w:val="center"/>
            </w:pPr>
            <w:r/>
            <w:r>
              <w:rPr>
                <w:rFonts w:ascii="仿宋_GB2312" w:hAnsi="仿宋_GB2312" w:eastAsia="仿宋_GB2312"/>
                <w:b w:val="0"/>
                <w:color w:val="000000"/>
                <w:sz w:val="32"/>
              </w:rPr>
              <w:t>民营法人</w:t>
            </w:r>
          </w:p>
        </w:tc>
        <w:tc>
          <w:tcPr>
            <w:tcW w:type="dxa" w:w="1361"/>
          </w:tcPr>
          <w:p>
            <w:pPr>
              <w:spacing w:lineRule="exact" w:line="600"/>
              <w:jc w:val="center"/>
            </w:pPr>
            <w:r/>
            <w:r>
              <w:rPr>
                <w:rFonts w:ascii="仿宋_GB2312" w:hAnsi="仿宋_GB2312" w:eastAsia="仿宋_GB2312"/>
                <w:b w:val="0"/>
                <w:color w:val="000000"/>
                <w:sz w:val="32"/>
              </w:rPr>
              <w:t>43.8462%</w:t>
            </w:r>
          </w:p>
        </w:tc>
        <w:tc>
          <w:tcPr>
            <w:tcW w:type="dxa" w:w="2381"/>
          </w:tcPr>
          <w:p>
            <w:pPr>
              <w:spacing w:lineRule="exact" w:line="600"/>
              <w:jc w:val="center"/>
            </w:pPr>
            <w:r/>
            <w:r>
              <w:rPr>
                <w:rFonts w:ascii="仿宋_GB2312" w:hAnsi="仿宋_GB2312" w:eastAsia="仿宋_GB2312"/>
                <w:b w:val="0"/>
                <w:color w:val="000000"/>
                <w:sz w:val="32"/>
              </w:rPr>
              <w:t>科瑞汇正能源科技全资</w:t>
            </w:r>
          </w:p>
        </w:tc>
      </w:tr>
      <w:tr>
        <w:tc>
          <w:tcPr>
            <w:tcW w:type="dxa" w:w="3175"/>
          </w:tcPr>
          <w:p>
            <w:pPr>
              <w:spacing w:lineRule="exact" w:line="600"/>
              <w:jc w:val="center"/>
            </w:pPr>
            <w:r/>
            <w:r>
              <w:rPr>
                <w:rFonts w:ascii="仿宋_GB2312" w:hAnsi="仿宋_GB2312" w:eastAsia="仿宋_GB2312"/>
                <w:b w:val="0"/>
                <w:color w:val="000000"/>
                <w:sz w:val="32"/>
              </w:rPr>
              <w:t>东营市新动能投资管理有限公司</w:t>
            </w:r>
          </w:p>
        </w:tc>
        <w:tc>
          <w:tcPr>
            <w:tcW w:type="dxa" w:w="2041"/>
          </w:tcPr>
          <w:p>
            <w:pPr>
              <w:spacing w:lineRule="exact" w:line="600"/>
              <w:jc w:val="center"/>
            </w:pPr>
            <w:r/>
            <w:r>
              <w:rPr>
                <w:rFonts w:ascii="仿宋_GB2312" w:hAnsi="仿宋_GB2312" w:eastAsia="仿宋_GB2312"/>
                <w:b w:val="0"/>
                <w:color w:val="000000"/>
                <w:sz w:val="32"/>
              </w:rPr>
              <w:t>国有（财金全资）</w:t>
            </w:r>
          </w:p>
        </w:tc>
        <w:tc>
          <w:tcPr>
            <w:tcW w:type="dxa" w:w="1361"/>
          </w:tcPr>
          <w:p>
            <w:pPr>
              <w:spacing w:lineRule="exact" w:line="600"/>
              <w:jc w:val="center"/>
            </w:pPr>
            <w:r/>
            <w:r>
              <w:rPr>
                <w:rFonts w:ascii="仿宋_GB2312" w:hAnsi="仿宋_GB2312" w:eastAsia="仿宋_GB2312"/>
                <w:b w:val="0"/>
                <w:color w:val="000000"/>
                <w:sz w:val="32"/>
              </w:rPr>
              <w:t>5.1282%</w:t>
            </w:r>
          </w:p>
        </w:tc>
        <w:tc>
          <w:tcPr>
            <w:tcW w:type="dxa" w:w="2381"/>
          </w:tcPr>
          <w:p>
            <w:pPr>
              <w:spacing w:lineRule="exact" w:line="600"/>
              <w:jc w:val="center"/>
            </w:pPr>
            <w:r/>
            <w:r>
              <w:rPr>
                <w:rFonts w:ascii="仿宋_GB2312" w:hAnsi="仿宋_GB2312" w:eastAsia="仿宋_GB2312"/>
                <w:b w:val="0"/>
                <w:color w:val="000000"/>
                <w:sz w:val="32"/>
              </w:rPr>
              <w:t>—</w:t>
            </w:r>
          </w:p>
        </w:tc>
      </w:tr>
      <w:tr>
        <w:tc>
          <w:tcPr>
            <w:tcW w:type="dxa" w:w="3175"/>
          </w:tcPr>
          <w:p>
            <w:pPr>
              <w:spacing w:lineRule="exact" w:line="600"/>
              <w:jc w:val="center"/>
            </w:pPr>
            <w:r/>
            <w:r>
              <w:rPr>
                <w:rFonts w:ascii="仿宋_GB2312" w:hAnsi="仿宋_GB2312" w:eastAsia="仿宋_GB2312"/>
                <w:b w:val="0"/>
                <w:color w:val="000000"/>
                <w:sz w:val="32"/>
              </w:rPr>
              <w:t>东营邦瑞企业管理中心（有限合伙）</w:t>
            </w:r>
          </w:p>
        </w:tc>
        <w:tc>
          <w:tcPr>
            <w:tcW w:type="dxa" w:w="2041"/>
          </w:tcPr>
          <w:p>
            <w:pPr>
              <w:spacing w:lineRule="exact" w:line="600"/>
              <w:jc w:val="center"/>
            </w:pPr>
            <w:r/>
            <w:r>
              <w:rPr>
                <w:rFonts w:ascii="仿宋_GB2312" w:hAnsi="仿宋_GB2312" w:eastAsia="仿宋_GB2312"/>
                <w:b w:val="0"/>
                <w:color w:val="000000"/>
                <w:sz w:val="32"/>
              </w:rPr>
              <w:t>员工持股平台</w:t>
            </w:r>
          </w:p>
        </w:tc>
        <w:tc>
          <w:tcPr>
            <w:tcW w:type="dxa" w:w="1361"/>
          </w:tcPr>
          <w:p>
            <w:pPr>
              <w:spacing w:lineRule="exact" w:line="600"/>
              <w:jc w:val="center"/>
            </w:pPr>
            <w:r/>
            <w:r>
              <w:rPr>
                <w:rFonts w:ascii="仿宋_GB2312" w:hAnsi="仿宋_GB2312" w:eastAsia="仿宋_GB2312"/>
                <w:b w:val="0"/>
                <w:color w:val="000000"/>
                <w:sz w:val="32"/>
              </w:rPr>
              <w:t>2.5641%</w:t>
            </w:r>
          </w:p>
        </w:tc>
        <w:tc>
          <w:tcPr>
            <w:tcW w:type="dxa" w:w="2381"/>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国资合计持股约53.59%（东营市财金投资集团48.46%＋东营市新动能投资5.13%），超过50%，公司实际控制人为东营市财政局（经由东营市财金投资集团有限公司—东营市财政局逐级持有），公司性质为东营市属国有控股的混合所有制企业。股权结构体现"国资控股＋民营产业方＋员工持股"的混合所有制特征，兼顾国资信用与民营机制活力。</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科瑞集团体系内的核心装备制造企业，对外投资4家企业（东营科瑞泛能油气技术服务、山东科瑞智能装备等），形成"装备研发制造＋油气技术服务＋智能装备"的业务组合。主要人员包括董事长徐教礼、董事刘晓光、田森、魏照平、李金旭、经理王玉军、财务负责人谢超等。</w:t>
      </w:r>
    </w:p>
    <w:p>
      <w:pPr>
        <w:spacing w:lineRule="exact" w:line="600" w:before="0" w:after="0"/>
        <w:ind w:firstLine="420"/>
        <w:jc w:val="both"/>
      </w:pPr>
      <w:r>
        <w:rPr>
          <w:rFonts w:ascii="仿宋_GB2312" w:hAnsi="仿宋_GB2312" w:eastAsia="仿宋_GB2312"/>
          <w:b w:val="0"/>
          <w:color w:val="000000"/>
          <w:sz w:val="32"/>
        </w:rPr>
        <w:t>业务板块围绕高端油气能源装备，具备钻修井装备、气体压缩装备、制注氮设备、油气增产作业装备、井口井控设备、人工举升设备、海洋油气开采装备、天然气处理装备、碳捕集与应用设备等九大系列产品、400余种类别。</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2013年5月，公司以"山东科瑞泵业有限公司"名义设立，后更名为山东科瑞油气装备有限公司，融入科瑞集团高端油气装备体系。</w:t>
      </w:r>
    </w:p>
    <w:p>
      <w:pPr>
        <w:spacing w:lineRule="exact" w:line="600" w:before="0" w:after="0"/>
        <w:ind w:firstLine="420"/>
        <w:jc w:val="both"/>
      </w:pPr>
      <w:r>
        <w:rPr>
          <w:rFonts w:ascii="仿宋_GB2312" w:hAnsi="仿宋_GB2312" w:eastAsia="仿宋_GB2312"/>
          <w:b w:val="0"/>
          <w:color w:val="000000"/>
          <w:sz w:val="32"/>
        </w:rPr>
        <w:t>历经发展，公司建成七个大型高端石油装备生产制造基地，营销服务网络覆盖亚太、中亚、中东、欧洲、北美、南美、非洲等52个国家和地区，在全球设10个技术研发中心和实验室、12个地区服务中心及零配件仓库，为全球80多个国家和地区客户提供产品与服务。</w:t>
      </w:r>
    </w:p>
    <w:p>
      <w:pPr>
        <w:spacing w:lineRule="exact" w:line="600" w:before="0" w:after="0"/>
        <w:ind w:firstLine="420"/>
        <w:jc w:val="both"/>
      </w:pPr>
      <w:r>
        <w:rPr>
          <w:rFonts w:ascii="仿宋_GB2312" w:hAnsi="仿宋_GB2312" w:eastAsia="仿宋_GB2312"/>
          <w:b w:val="0"/>
          <w:color w:val="000000"/>
          <w:sz w:val="32"/>
        </w:rPr>
        <w:t>2026年，公司"万米级深地油气钻探成套智能装备研发及产业化项目"入选山东省重点研发计划（重大科技创新工程），标志其智能钻修井装备获省级最高层次科技计划认可；同期与七腾机器人签署战略合作协议，以"数智化装备＋机器人技术"赋能油气产业。</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公司战略定位为行业领先的绿色低碳、数智化能源方案提供商，专注于高端油气能源装备研发制造、油气田增产及新能源开发、油气能源工程等一站式综合解决方案。</w:t>
      </w:r>
    </w:p>
    <w:p>
      <w:pPr>
        <w:spacing w:lineRule="exact" w:line="600" w:before="0" w:after="0"/>
        <w:ind w:firstLine="420"/>
        <w:jc w:val="both"/>
      </w:pPr>
      <w:r>
        <w:rPr>
          <w:rFonts w:ascii="仿宋_GB2312" w:hAnsi="仿宋_GB2312" w:eastAsia="仿宋_GB2312"/>
          <w:b w:val="0"/>
          <w:color w:val="000000"/>
          <w:sz w:val="32"/>
        </w:rPr>
        <w:t>主营业务为高端石油钻采专用设备、深海石油钻探设备、气体压缩与制注氮设备、井口井控与人工举升设备、海洋油气开采装备、天然气处理及碳捕集装备的研发、制造、销售与技术服务，并延伸至油气工程与新能源开发。</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九大系列产品构成：钻修井装备、气体压缩装备、制注氮设备、油气增产作业装备、井口井控设备、人工举升设备、海洋油气开采装备、天然气处理装备、碳捕集与应用设备。因公司为非上市企业，分产品收入占比未公开披露。</w:t>
      </w:r>
    </w:p>
    <w:p>
      <w:pPr>
        <w:spacing w:lineRule="exact" w:line="600" w:before="0" w:after="0"/>
        <w:ind w:firstLine="420"/>
        <w:jc w:val="both"/>
      </w:pPr>
      <w:r>
        <w:rPr>
          <w:rFonts w:ascii="仿宋_GB2312" w:hAnsi="仿宋_GB2312" w:eastAsia="仿宋_GB2312"/>
          <w:b w:val="0"/>
          <w:color w:val="000000"/>
          <w:sz w:val="32"/>
        </w:rPr>
        <w:t>从业务属性看，装备研发制造为收入主体，油气工程技术与服务为增值延伸，碳捕集等绿色装备为战略增量方向。海外收入占比高（营销网络覆盖80余国），国际化是公司最显著的经营特征。</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第一，钻修井装备。公司核心品类，2026年入选山东省重大科技创新工程的"万米级深地油气钻探成套智能装备"即属此类，体现其深地钻探智能装备实力。</w:t>
      </w:r>
    </w:p>
    <w:p>
      <w:pPr>
        <w:spacing w:lineRule="exact" w:line="600" w:before="0" w:after="0"/>
        <w:ind w:firstLine="420"/>
        <w:jc w:val="both"/>
      </w:pPr>
      <w:r>
        <w:rPr>
          <w:rFonts w:ascii="仿宋_GB2312" w:hAnsi="仿宋_GB2312" w:eastAsia="仿宋_GB2312"/>
          <w:b w:val="0"/>
          <w:color w:val="000000"/>
          <w:sz w:val="32"/>
        </w:rPr>
        <w:t>第二，气体压缩与制注氮设备。面向油气田增产与集输，是公司传统优势品类。</w:t>
      </w:r>
    </w:p>
    <w:p>
      <w:pPr>
        <w:spacing w:lineRule="exact" w:line="600" w:before="0" w:after="0"/>
        <w:ind w:firstLine="420"/>
        <w:jc w:val="both"/>
      </w:pPr>
      <w:r>
        <w:rPr>
          <w:rFonts w:ascii="仿宋_GB2312" w:hAnsi="仿宋_GB2312" w:eastAsia="仿宋_GB2312"/>
          <w:b w:val="0"/>
          <w:color w:val="000000"/>
          <w:sz w:val="32"/>
        </w:rPr>
        <w:t>第三，井口井控与人工举升设备。涵盖采油树、井口装置、抽油机等，是油田开发刚需装备。</w:t>
      </w:r>
    </w:p>
    <w:p>
      <w:pPr>
        <w:spacing w:lineRule="exact" w:line="600" w:before="0" w:after="0"/>
        <w:ind w:firstLine="420"/>
        <w:jc w:val="both"/>
      </w:pPr>
      <w:r>
        <w:rPr>
          <w:rFonts w:ascii="仿宋_GB2312" w:hAnsi="仿宋_GB2312" w:eastAsia="仿宋_GB2312"/>
          <w:b w:val="0"/>
          <w:color w:val="000000"/>
          <w:sz w:val="32"/>
        </w:rPr>
        <w:t>第四，海洋油气开采装备与深海钻探设备。面向海洋油气与深水开发，是公司高端化方向。</w:t>
      </w:r>
    </w:p>
    <w:p>
      <w:pPr>
        <w:spacing w:lineRule="exact" w:line="600" w:before="0" w:after="0"/>
        <w:ind w:firstLine="420"/>
        <w:jc w:val="both"/>
      </w:pPr>
      <w:r>
        <w:rPr>
          <w:rFonts w:ascii="仿宋_GB2312" w:hAnsi="仿宋_GB2312" w:eastAsia="仿宋_GB2312"/>
          <w:b w:val="0"/>
          <w:color w:val="000000"/>
          <w:sz w:val="32"/>
        </w:rPr>
        <w:t>第五，天然气处理与碳捕集装备。契合绿色低碳趋势，是公司面向新能源与CCUS的战略增量。</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全球80多个主要产油国的国家石油公司、国际油服巨头与工程公司，国际化程度极高。2026年第十八届东营石油装备展等场合，公司与贝克休斯等国际巨头互动，体现其国际客户层级。客户地域分散、以海外为主，抗单一市场波动能力较强，但也面临地缘政治与汇率风险。</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公司上游为钢材、铸件、液压电气元件、发动机等，依托东营石油装备产业集群配套，供应链本地化程度高。作为国有控股混合所有制企业，采购合规与集采管控较规范。</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产能方面，公司拥有七个大型高端石油装备生产制造基地，具备九大系列、400余种类别装备的制造能力，规模在国内民营/混改装备企业中居前。</w:t>
      </w:r>
    </w:p>
    <w:p>
      <w:pPr>
        <w:spacing w:lineRule="exact" w:line="600" w:before="0" w:after="0"/>
        <w:ind w:firstLine="420"/>
        <w:jc w:val="both"/>
      </w:pPr>
      <w:r>
        <w:rPr>
          <w:rFonts w:ascii="仿宋_GB2312" w:hAnsi="仿宋_GB2312" w:eastAsia="仿宋_GB2312"/>
          <w:b w:val="0"/>
          <w:color w:val="000000"/>
          <w:sz w:val="32"/>
        </w:rPr>
        <w:t>资源方面，核心资源为全球营销服务网络（52国、80余客户国）、10个海外研发中心、科瑞集团品牌，以及东营市属国资信用背书。</w:t>
      </w:r>
    </w:p>
    <w:p>
      <w:pPr>
        <w:spacing w:lineRule="exact" w:line="600" w:before="0" w:after="0"/>
        <w:ind w:firstLine="420"/>
        <w:jc w:val="both"/>
      </w:pPr>
      <w:r>
        <w:rPr>
          <w:rFonts w:ascii="仿宋_GB2312" w:hAnsi="仿宋_GB2312" w:eastAsia="仿宋_GB2312"/>
          <w:b w:val="0"/>
          <w:color w:val="000000"/>
          <w:sz w:val="32"/>
        </w:rPr>
        <w:t>牌照资质方面，公司持有特种设备制造/安装/改造/修理与设计许可、道路机动车辆生产许可、检验检测资质、排污与安全生产许可，为国家高新技术企业，专利信息345项、商标36项、著作权6项，行政许可20项，资质体系完整。</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公司采用"全球营销网络＋本地化服务"模式，在52国设营销网络、12个地区服务中心及零配件仓库，海外收入占比高。拥有进出口代理资质，国际化销售体系成熟。</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人员规模100—499人（2025年社保人数339人），注册资本3.9亿元，为中型规模以上工业企业。作为东营石油装备链主，公司在钻修井、增产作业等装备领域具备国内领先地位，海外市场份额突出。</w:t>
      </w:r>
    </w:p>
    <w:p>
      <w:pPr>
        <w:spacing w:lineRule="exact" w:line="600" w:before="0" w:after="0"/>
        <w:ind w:firstLine="420"/>
        <w:jc w:val="both"/>
      </w:pPr>
      <w:r>
        <w:rPr>
          <w:rFonts w:ascii="仿宋_GB2312" w:hAnsi="仿宋_GB2312" w:eastAsia="仿宋_GB2312"/>
          <w:b w:val="0"/>
          <w:color w:val="000000"/>
          <w:sz w:val="32"/>
        </w:rPr>
        <w:t>市场地位方面，公司是东营市石油钻采技术服务特色产业集群的链主企业，2026年入选山东省重大科技创新工程，技术实力获省级认可，是东营高端油气装备"走出去"的代表性企业。</w:t>
      </w:r>
    </w:p>
    <w:p>
      <w:pPr>
        <w:spacing w:lineRule="exact" w:line="600" w:before="0" w:after="0"/>
        <w:ind w:firstLine="420"/>
        <w:jc w:val="both"/>
      </w:pPr>
      <w:r>
        <w:rPr>
          <w:rFonts w:ascii="仿宋_GB2312" w:hAnsi="仿宋_GB2312" w:eastAsia="仿宋_GB2312"/>
          <w:b w:val="0"/>
          <w:color w:val="000000"/>
          <w:sz w:val="32"/>
        </w:rPr>
        <w:t>需说明：公司为非上市国有控股混合所有制企业，单体经审计财务数据未公开披露，本节产值、人员等数据来自公开工商与官网口径，不作精确量化推定。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山东科瑞油气装备有限公司为非上市企业（东营市属国有控股混合所有制），其单体经审计财务报表未向社会公开披露，亦无合并上市公司可参照。据此，本报告无法提供经审计的财务科目数据，不对未披露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工商与官网信息，可确认以下非审计经营规模：注册资本39000万元（实缴同额）、人员规模100—499人（2025年社保339人）、七个大型制造基地、营销网络覆盖52国/服务80余国、专利345项、商标36项。上述数据为工商与集团口径，不代表经审计财务数据。</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与股权背景，可研判（非精确数据）：第一，高端油气装备属重资产、资金密集型，七个基地与九大系列产品意味着较高的固定资产与研发/制造投入；第二，海外业务占比高，收入以美元等外币结算，汇率与地缘政治影响显著；第三，作为国有控股混合所有制企业，融资可得性与信用资质优于纯民营企业，但需履行国资监管与"三重一大"决策程序。真实盈利、负债与现金流需在取得经审计财务报表后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控股混合所有制企业，建立"股东会—董事会—经理层"治理架构。东营市财金投资集团作为第一大股东（48.46%）派驻国有董事，民营产业方（科瑞能源43.85%）与员工持股平台参与，形成国资与民营互补的治理格局。</w:t>
      </w:r>
    </w:p>
    <w:p>
      <w:pPr>
        <w:spacing w:lineRule="exact" w:line="600" w:before="0" w:after="0"/>
        <w:ind w:firstLine="420"/>
        <w:jc w:val="both"/>
      </w:pPr>
      <w:r>
        <w:rPr>
          <w:rFonts w:ascii="仿宋_GB2312" w:hAnsi="仿宋_GB2312" w:eastAsia="仿宋_GB2312"/>
          <w:b w:val="0"/>
          <w:color w:val="000000"/>
          <w:sz w:val="32"/>
        </w:rPr>
        <w:t>作为国有控股企业，公司应设立党组织，落实"三重一大"（重大事项决策、重要干部任免、重大项目投资决策、大额资金使用）集体决策制度，重大投资、融资、资产处置须履行党组织前置研究讨论与董事会/股东会决策程序，并接受东营市国资委体系的国有资产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公司董事长徐教礼，董事包括刘晓光、田森、魏照平、李金旭等，经理王玉军，财务负责人谢超。管理团队兼具国资股东代表与科瑞产业方背景，融合国资规范与产业经验。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公司作为国有控股装备制造企业，需执行国有企业内控与合规管理要求，财务、招标采购、安全生产、环保均纳入国资监管体系。公司为国家高新技术企业，通过特种设备等资质认证，合规体系较完善。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339人（2025年社保），在高端装备企业中规模适中，研发与技术人员支撑九大系列产品迭代。公司设有员工持股平台（邦瑞），形成核心团队利益绑定。作为东营骨干制造企业，是地方产业人才重要承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一是全球营销网络壁垒。营销网络覆盖52国、服务80余主要产油国，12个海外服务中心，国际化渠道是一般国内装备企业难以复制的核心资产。</w:t>
      </w:r>
    </w:p>
    <w:p>
      <w:pPr>
        <w:spacing w:lineRule="exact" w:line="600" w:before="0" w:after="0"/>
        <w:ind w:firstLine="420"/>
        <w:jc w:val="both"/>
      </w:pPr>
      <w:r>
        <w:rPr>
          <w:rFonts w:ascii="仿宋_GB2312" w:hAnsi="仿宋_GB2312" w:eastAsia="仿宋_GB2312"/>
          <w:b w:val="0"/>
          <w:color w:val="000000"/>
          <w:sz w:val="32"/>
        </w:rPr>
        <w:t>二是国资信用与混合所有制的互补。东营市属国资控股带来信用、融资与政策资源，民营产业方与员工持股保留机制活力，兼具"国资信用＋民营效率"。</w:t>
      </w:r>
    </w:p>
    <w:p>
      <w:pPr>
        <w:spacing w:lineRule="exact" w:line="600" w:before="0" w:after="0"/>
        <w:ind w:firstLine="420"/>
        <w:jc w:val="both"/>
      </w:pPr>
      <w:r>
        <w:rPr>
          <w:rFonts w:ascii="仿宋_GB2312" w:hAnsi="仿宋_GB2312" w:eastAsia="仿宋_GB2312"/>
          <w:b w:val="0"/>
          <w:color w:val="000000"/>
          <w:sz w:val="32"/>
        </w:rPr>
        <w:t>三是技术与专利壁垒。专利345项、商标36项，2026年万米级深地钻探智能装备入选山东省重大科技创新工程，技术实力获省级认可。</w:t>
      </w:r>
    </w:p>
    <w:p>
      <w:pPr>
        <w:spacing w:lineRule="exact" w:line="600" w:before="0" w:after="0"/>
        <w:ind w:firstLine="420"/>
        <w:jc w:val="both"/>
      </w:pPr>
      <w:r>
        <w:rPr>
          <w:rFonts w:ascii="仿宋_GB2312" w:hAnsi="仿宋_GB2312" w:eastAsia="仿宋_GB2312"/>
          <w:b w:val="0"/>
          <w:color w:val="000000"/>
          <w:sz w:val="32"/>
        </w:rPr>
        <w:t>四是全产业链与多品类能力。九大系列、400余种类别装备，可提供一站式综合解决方案，客户粘性强。</w:t>
      </w:r>
    </w:p>
    <w:p>
      <w:pPr>
        <w:spacing w:lineRule="exact" w:line="600" w:before="0" w:after="0"/>
        <w:ind w:firstLine="420"/>
        <w:jc w:val="both"/>
      </w:pPr>
      <w:r>
        <w:rPr>
          <w:rFonts w:ascii="仿宋_GB2312" w:hAnsi="仿宋_GB2312" w:eastAsia="仿宋_GB2312"/>
          <w:b w:val="0"/>
          <w:color w:val="000000"/>
          <w:sz w:val="32"/>
        </w:rPr>
        <w:t>五是基地与规模优势。七个大型制造基地，规模与交付能力居国内前列。</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第一，油气行业周期与油价波动风险。公司装备需求与全球油气勘探开发资本开支高度相关，油价下行将压制客户需求。</w:t>
      </w:r>
    </w:p>
    <w:p>
      <w:pPr>
        <w:spacing w:lineRule="exact" w:line="600" w:before="0" w:after="0"/>
        <w:ind w:firstLine="420"/>
        <w:jc w:val="both"/>
      </w:pPr>
      <w:r>
        <w:rPr>
          <w:rFonts w:ascii="仿宋_GB2312" w:hAnsi="仿宋_GB2312" w:eastAsia="仿宋_GB2312"/>
          <w:b w:val="0"/>
          <w:color w:val="000000"/>
          <w:sz w:val="32"/>
        </w:rPr>
        <w:t>第二，地缘政治与贸易壁垒风险。海外收入占比高，受国际局势、制裁、贸易保护影响大。</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第一，汇率风险。海外业务以外币结算，汇率波动影响收入与利润。</w:t>
      </w:r>
    </w:p>
    <w:p>
      <w:pPr>
        <w:spacing w:lineRule="exact" w:line="600" w:before="0" w:after="0"/>
        <w:ind w:firstLine="420"/>
        <w:jc w:val="both"/>
      </w:pPr>
      <w:r>
        <w:rPr>
          <w:rFonts w:ascii="仿宋_GB2312" w:hAnsi="仿宋_GB2312" w:eastAsia="仿宋_GB2312"/>
          <w:b w:val="0"/>
          <w:color w:val="000000"/>
          <w:sz w:val="32"/>
        </w:rPr>
        <w:t>第二，重资产与研发风险。九大系列装备研发与制造投入大，若部分品类市场不及预期，存在资产闲置风险。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财务透明度不足风险。单体财务未公开披露，外部授信需通过国资协同或专项尽调获取真实财务信息。</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司法涉诉风险：公开口径显示公司存在一定数量买卖合同等纠纷（天眼风险信息约175条、涉诉关系10条、开庭公告8条），授信前建议逐案核查案由、标的与执行情况，重点关注是否存在质量、环保、安全等实质性风险。</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混合所有制下，国资与民营股东在战略与经营上的协调需持续理顺；"三重一大"决策程序可能延长决策链条。所幸股权结构相对稳定，管理风险可控。</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公司应对措施包括：一是加速数智化与绿色低碳转型（智能装备＋机器人、碳捕集）；二是深耕海外网络、分散单一市场风险；三是依托国资信用优化融资；四是持续研发保持技术领先。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为国有控股、重资产、高国际化的高端油气装备链主企业，七个基地与九大系列产品意味着持续的资本开支与营运资金需求（海外项目垫资、信保融资等）。作为国有控股混合所有制企业，银行授信相对便利，但山东投资可围绕供应链金融、融资租赁与出口金融差异化切入。</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公司海外业务形成大量应收账款，适合开展出口保理，并联合中国出口信用保险公司（中信保）覆盖海外买方信用风险与汇率风险，这是与该公司协同度最高的方向之一。国内装备销售亦可开展应收保理。</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供应链金融协同价值突出：向上游，公司年采购钢材、铸锻件、液压电气等规模大，可为上游供应商提供采购端融资与应收账款确权；以科瑞油气为核心企业，为其下游海外客户与国内工程客户提供基于真实交易的采购融资，既缓解上下游资金压力，又巩固链主生态。</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融资租赁契合公司制造基地设备投资与产能升级需求：九大系列装备的生产线、检测与智能设备单值高，可通过直接租赁缓解资本开支；存量设备可通过售后回租盘活。承租人为国有控股企业、信息较透明，风险相对可控。建议以"新增设备直租＋存量回租"组合介入。</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小贷对本公司规模过小，适用方向为上游中小配套企业（铸锻、机加工、物流）的周转融资，单户50万—500万元，依托供应链金融统一开展。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业务优先级：第一，出口保理（联合中信保），协同与风险覆盖价值最高；第二，供应链金融（上下游链式融资）；第三，融资租赁（设备直租＋回租）；第四，小贷仅面向中小配套主体。</w:t>
      </w:r>
    </w:p>
    <w:p>
      <w:pPr>
        <w:spacing w:lineRule="exact" w:line="600" w:before="0" w:after="0"/>
        <w:ind w:firstLine="420"/>
        <w:jc w:val="both"/>
      </w:pPr>
      <w:r>
        <w:rPr>
          <w:rFonts w:ascii="仿宋_GB2312" w:hAnsi="仿宋_GB2312" w:eastAsia="仿宋_GB2312"/>
          <w:b w:val="0"/>
          <w:color w:val="000000"/>
          <w:sz w:val="32"/>
        </w:rPr>
        <w:t>风控要点：一是通过东营市财金投资集团协同取得公司经审计或真实财务数据；二是关注油价与地缘政治对海外订单的影响；三是核查司法涉诉具体案由与合规状况；四是落实国资"三重一大"决策下的用信审批链条；五是对出口保理严格核验贸易背景与中信保额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科瑞油气装备有限公司是东营市石油钻采技术服务特色产业集群的链主企业，东营市属国资控股的混合所有制高端油气装备制造商，拥有覆盖52国、服务80余国的全球营销网络与九大系列装备能力，2026年万米级深地钻探智能装备入选山东省重大科技创新工程，技术与国际化实力突出。</w:t>
      </w:r>
    </w:p>
    <w:p>
      <w:pPr>
        <w:spacing w:lineRule="exact" w:line="600" w:before="0" w:after="0"/>
        <w:ind w:firstLine="420"/>
        <w:jc w:val="both"/>
      </w:pPr>
      <w:r>
        <w:rPr>
          <w:rFonts w:ascii="仿宋_GB2312" w:hAnsi="仿宋_GB2312" w:eastAsia="仿宋_GB2312"/>
          <w:b w:val="0"/>
          <w:color w:val="000000"/>
          <w:sz w:val="32"/>
        </w:rPr>
        <w:t>公司核心优势为"全球网络＋国资信用＋技术专利＋多品类一站式"，战略价值高；主要短板是重资产、海外业务受油价与地缘扰动、财务透明度不足、存在一定数量买卖合同纠纷。</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数智化与绿色低碳转型（智能装备、机器人、碳捕集），提升产品附加值；二是深耕海外网络、抢抓"一带一路"油气装备需求；三是依托国资信用优化资本结构。中长期看，若油气行业资本开支回暖，公司凭借全球渠道与技术积累有望持续放量。</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一是油价周期与地缘风险；二是汇率波动；三是重资产折旧与研发压力；四是财务透明度与诉讼风险；五是混合所有制治理协调。</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结论：科瑞油气是兼具"全球渠道"与"国资信用"的优质石油装备链主，信用风险低、融资需求真实且规模可观，是山东投资在东营石油装备集群应当重点争取的战略客户。</w:t>
      </w:r>
    </w:p>
    <w:p>
      <w:pPr>
        <w:spacing w:lineRule="exact" w:line="600" w:before="0" w:after="0"/>
        <w:ind w:firstLine="420"/>
        <w:jc w:val="both"/>
      </w:pPr>
      <w:r>
        <w:rPr>
          <w:rFonts w:ascii="仿宋_GB2312" w:hAnsi="仿宋_GB2312" w:eastAsia="仿宋_GB2312"/>
          <w:b w:val="0"/>
          <w:color w:val="000000"/>
          <w:sz w:val="32"/>
        </w:rPr>
        <w:t>对企业的建议：一是坚定数智化与绿色转型；二是加强海外风险管理与汇率对冲；三是提升财务透明度；四是清理化解存量诉讼。</w:t>
      </w:r>
    </w:p>
    <w:p>
      <w:pPr>
        <w:spacing w:lineRule="exact" w:line="600" w:before="0" w:after="0"/>
        <w:ind w:firstLine="420"/>
        <w:jc w:val="both"/>
      </w:pPr>
      <w:r>
        <w:rPr>
          <w:rFonts w:ascii="仿宋_GB2312" w:hAnsi="仿宋_GB2312" w:eastAsia="仿宋_GB2312"/>
          <w:b w:val="0"/>
          <w:color w:val="000000"/>
          <w:sz w:val="32"/>
        </w:rPr>
        <w:t>对山东投资的建议：将科瑞油气列为集群首要战略客户。近期以出口保理（联合中信保）与供应链金融双轮切入，中期以融资租赁（设备直租＋回租）增强绑定。合作定位上发挥省属平台产业与金融协同，协助对接省内油气下游与"一带一路"项目，并须落实国资"三重一大"审批与真实财务核查。</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曾用名、成立时间、法定代表人、注册资本、实缴资本、企业类型、登记状态、经营范围、注册地址、社保人数、资质荣誉、司法风险）来源于国家企业信用信息公示系统及天眼查、爱企查、企查查公开快照。</w:t>
      </w:r>
    </w:p>
    <w:p>
      <w:pPr>
        <w:spacing w:lineRule="exact" w:line="600" w:before="0" w:after="0"/>
        <w:ind w:firstLine="420"/>
        <w:jc w:val="both"/>
      </w:pPr>
      <w:r>
        <w:rPr>
          <w:rFonts w:ascii="仿宋_GB2312" w:hAnsi="仿宋_GB2312" w:eastAsia="仿宋_GB2312"/>
          <w:b w:val="0"/>
          <w:color w:val="000000"/>
          <w:sz w:val="32"/>
        </w:rPr>
        <w:t>股权结构与实际控制人信息（东营市财金投资集团48.46%、山东科瑞能源设备43.85%、东营市新动能投资5.13%、东营邦瑞2.56%，国资合计约53.59%、东营市财政局为实际控制人）来源于公开工商信息与股权穿透数据。</w:t>
      </w:r>
    </w:p>
    <w:p>
      <w:pPr>
        <w:spacing w:lineRule="exact" w:line="600" w:before="0" w:after="0"/>
        <w:ind w:firstLine="420"/>
        <w:jc w:val="both"/>
      </w:pPr>
      <w:r>
        <w:rPr>
          <w:rFonts w:ascii="仿宋_GB2312" w:hAnsi="仿宋_GB2312" w:eastAsia="仿宋_GB2312"/>
          <w:b w:val="0"/>
          <w:color w:val="000000"/>
          <w:sz w:val="32"/>
        </w:rPr>
        <w:t>产品与全球网络信息（九大系列400余品类、七个制造基地、覆盖52国/服务80余国、10个海外研发中心、2026年山东省重大科技创新工程、与七腾机器人合作）来源于科瑞集团官网（www.keruigroup.com）及山东省科技厅等公开报道。</w:t>
      </w:r>
    </w:p>
    <w:p>
      <w:pPr>
        <w:spacing w:lineRule="exact" w:line="600" w:before="0" w:after="0"/>
        <w:ind w:firstLine="420"/>
        <w:jc w:val="both"/>
      </w:pPr>
      <w:r>
        <w:rPr>
          <w:rFonts w:ascii="仿宋_GB2312" w:hAnsi="仿宋_GB2312" w:eastAsia="仿宋_GB2312"/>
          <w:b w:val="0"/>
          <w:color w:val="000000"/>
          <w:sz w:val="32"/>
        </w:rPr>
        <w:t>财务数据特别说明：山东科瑞油气装备有限公司为非上市国有控股混合所有制企业，单体经审计财务报表未公开披露，故本报告未列示具体财务科目数据，亦不作推定；文中注册资本、人员、基地等数据来自公开工商与官网口径，未经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