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东营市东营区石油钻采技术服务特色产业集群</w:t>
      </w:r>
    </w:p>
    <w:p>
      <w:pPr>
        <w:spacing w:lineRule="exact" w:line="600" w:before="240" w:after="240"/>
        <w:ind w:firstLine="0"/>
        <w:jc w:val="center"/>
      </w:pPr>
      <w:r>
        <w:rPr>
          <w:rFonts w:ascii="方正小标宋简体" w:hAnsi="方正小标宋简体" w:eastAsia="方正小标宋简体"/>
          <w:b w:val="0"/>
          <w:color w:val="000000"/>
          <w:sz w:val="44"/>
        </w:rPr>
        <w:t>胜利油田胜机石油装备有限公司企业分析报告</w:t>
      </w:r>
    </w:p>
    <w:p>
      <w:pPr>
        <w:spacing w:lineRule="exact" w:line="600" w:before="0" w:after="0"/>
        <w:jc w:val="left"/>
      </w:pPr>
      <w:r>
        <w:rPr>
          <w:rFonts w:ascii="仿宋_GB2312" w:hAnsi="仿宋_GB2312" w:eastAsia="仿宋_GB2312"/>
          <w:b w:val="0"/>
          <w:color w:val="000000"/>
          <w:sz w:val="28"/>
        </w:rPr>
        <w:t>（说明：胜利油田胜机石油装备有限公司为东营市石油钻采技术服务特色产业集群的注采装备链主企业，由原中国石化集团胜利石油管理局总机械厂于2007年改制成立，系全体改制员工集体持股的民营企业。经核查国家企业信用信息公示系统、天眼查、企查查、启信宝公开快照、公司官网（www.sjpec.cn）及公开报道，公司为非上市企业，财务数据未公开披露。本报告文件名与集群名录保持一致，分析对象为胜利油田胜机石油装备有限公司。本报告数据来源于国家企业信用信息公示系统、天眼查/企查查/启信宝公开快照、公司官网及东营区政府公开信息，统计时点截至2026年8月公开可查范围。）</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胜利油田胜机石油装备有限公司成立于2007年9月30日，统一社会信用代码为91370500668052660X，工商注册号370500228035137，纳税人识别号91370500668052660X，海关注册编码与进出口企业代码齐全。</w:t>
      </w:r>
    </w:p>
    <w:p>
      <w:pPr>
        <w:spacing w:lineRule="exact" w:line="600" w:before="0" w:after="0"/>
        <w:ind w:firstLine="420"/>
        <w:jc w:val="both"/>
      </w:pPr>
      <w:r>
        <w:rPr>
          <w:rFonts w:ascii="仿宋_GB2312" w:hAnsi="仿宋_GB2312" w:eastAsia="仿宋_GB2312"/>
          <w:b w:val="0"/>
          <w:color w:val="000000"/>
          <w:sz w:val="32"/>
        </w:rPr>
        <w:t>公司法定代表人为张喜庆（董事长），登记机关为东营市东营区市场监督管理局，企业类型为其他有限责任公司，登记状态为存续，营业期限自2007年9月30日起无固定期限，纳税人资质为增值税一般纳税人。</w:t>
      </w:r>
    </w:p>
    <w:p>
      <w:pPr>
        <w:spacing w:lineRule="exact" w:line="600" w:before="0" w:after="0"/>
        <w:ind w:firstLine="420"/>
        <w:jc w:val="both"/>
      </w:pPr>
      <w:r>
        <w:rPr>
          <w:rFonts w:ascii="仿宋_GB2312" w:hAnsi="仿宋_GB2312" w:eastAsia="仿宋_GB2312"/>
          <w:b w:val="0"/>
          <w:color w:val="000000"/>
          <w:sz w:val="32"/>
        </w:rPr>
        <w:t>公司注册资本为13006.0219万元人民币，实缴资本13006.0209万元（基本到位）。注册地址与生产经营地址位于山东省东营市东营区西四路906号，所属行业为石油和天然气开采业相关设备制造，企业规模认定为中型企业（部分口径认定为大型）。</w:t>
      </w:r>
    </w:p>
    <w:p>
      <w:pPr>
        <w:spacing w:lineRule="exact" w:line="600" w:before="0" w:after="0"/>
        <w:ind w:firstLine="420"/>
        <w:jc w:val="both"/>
      </w:pPr>
      <w:r>
        <w:rPr>
          <w:rFonts w:ascii="仿宋_GB2312" w:hAnsi="仿宋_GB2312" w:eastAsia="仿宋_GB2312"/>
          <w:b w:val="0"/>
          <w:color w:val="000000"/>
          <w:sz w:val="32"/>
        </w:rPr>
        <w:t>经营范围涵盖石油钻采专用设备制造与销售、特种设备销售、钢压延加工、锅炉压力容器、环境保护专用设备、智能机器人与智能仪器仪表、软件开发、石油天然气技术服务等，具备货物进出口资质，是综合性石油装备企业。</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根据公开工商信息，公司由原中国石化集团胜利石油管理局总机械厂改制成立，系全体改制员工集体持股的民营企业。股权由多位自然人股东持有，最大单一股东为张喜庆（持股约3945万元，占总股本约30.3%），其余为王、杨、耿、李、宋、兰、张、沈等改制员工股东；东营市新动能投资管理有限公司（国有）持股约877.64万元（约6.7%），为财务性国有小股东。</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494"/>
          </w:tcPr>
          <w:p>
            <w:pPr>
              <w:spacing w:lineRule="exact" w:line="600"/>
              <w:jc w:val="center"/>
            </w:pPr>
            <w:r/>
            <w:r>
              <w:rPr>
                <w:rFonts w:ascii="黑体" w:hAnsi="黑体" w:eastAsia="黑体"/>
                <w:b/>
                <w:color w:val="000000"/>
                <w:sz w:val="32"/>
              </w:rPr>
              <w:t>股东类别</w:t>
            </w:r>
          </w:p>
        </w:tc>
        <w:tc>
          <w:tcPr>
            <w:tcW w:type="dxa" w:w="3175"/>
          </w:tcPr>
          <w:p>
            <w:pPr>
              <w:spacing w:lineRule="exact" w:line="600"/>
              <w:jc w:val="center"/>
            </w:pPr>
            <w:r/>
            <w:r>
              <w:rPr>
                <w:rFonts w:ascii="黑体" w:hAnsi="黑体" w:eastAsia="黑体"/>
                <w:b/>
                <w:color w:val="000000"/>
                <w:sz w:val="32"/>
              </w:rPr>
              <w:t>代表股东</w:t>
            </w:r>
          </w:p>
        </w:tc>
        <w:tc>
          <w:tcPr>
            <w:tcW w:type="dxa" w:w="1474"/>
          </w:tcPr>
          <w:p>
            <w:pPr>
              <w:spacing w:lineRule="exact" w:line="600"/>
              <w:jc w:val="center"/>
            </w:pPr>
            <w:r/>
            <w:r>
              <w:rPr>
                <w:rFonts w:ascii="黑体" w:hAnsi="黑体" w:eastAsia="黑体"/>
                <w:b/>
                <w:color w:val="000000"/>
                <w:sz w:val="32"/>
              </w:rPr>
              <w:t>持股比例</w:t>
            </w:r>
          </w:p>
        </w:tc>
        <w:tc>
          <w:tcPr>
            <w:tcW w:type="dxa" w:w="1814"/>
          </w:tcPr>
          <w:p>
            <w:pPr>
              <w:spacing w:lineRule="exact" w:line="600"/>
              <w:jc w:val="center"/>
            </w:pPr>
            <w:r/>
            <w:r>
              <w:rPr>
                <w:rFonts w:ascii="黑体" w:hAnsi="黑体" w:eastAsia="黑体"/>
                <w:b/>
                <w:color w:val="000000"/>
                <w:sz w:val="32"/>
              </w:rPr>
              <w:t>备注</w:t>
            </w:r>
          </w:p>
        </w:tc>
      </w:tr>
      <w:tr>
        <w:tc>
          <w:tcPr>
            <w:tcW w:type="dxa" w:w="2494"/>
          </w:tcPr>
          <w:p>
            <w:pPr>
              <w:spacing w:lineRule="exact" w:line="600"/>
              <w:jc w:val="center"/>
            </w:pPr>
            <w:r/>
            <w:r>
              <w:rPr>
                <w:rFonts w:ascii="仿宋_GB2312" w:hAnsi="仿宋_GB2312" w:eastAsia="仿宋_GB2312"/>
                <w:b w:val="0"/>
                <w:color w:val="000000"/>
                <w:sz w:val="32"/>
              </w:rPr>
              <w:t>改制员工集体持股</w:t>
            </w:r>
          </w:p>
        </w:tc>
        <w:tc>
          <w:tcPr>
            <w:tcW w:type="dxa" w:w="3175"/>
          </w:tcPr>
          <w:p>
            <w:pPr>
              <w:spacing w:lineRule="exact" w:line="600"/>
              <w:jc w:val="center"/>
            </w:pPr>
            <w:r/>
            <w:r>
              <w:rPr>
                <w:rFonts w:ascii="仿宋_GB2312" w:hAnsi="仿宋_GB2312" w:eastAsia="仿宋_GB2312"/>
                <w:b w:val="0"/>
                <w:color w:val="000000"/>
                <w:sz w:val="32"/>
              </w:rPr>
              <w:t>张喜庆（最大）、王、杨、耿等</w:t>
            </w:r>
          </w:p>
        </w:tc>
        <w:tc>
          <w:tcPr>
            <w:tcW w:type="dxa" w:w="1474"/>
          </w:tcPr>
          <w:p>
            <w:pPr>
              <w:spacing w:lineRule="exact" w:line="600"/>
              <w:jc w:val="center"/>
            </w:pPr>
            <w:r/>
            <w:r>
              <w:rPr>
                <w:rFonts w:ascii="仿宋_GB2312" w:hAnsi="仿宋_GB2312" w:eastAsia="仿宋_GB2312"/>
                <w:b w:val="0"/>
                <w:color w:val="000000"/>
                <w:sz w:val="32"/>
              </w:rPr>
              <w:t>约93.3%</w:t>
            </w:r>
          </w:p>
        </w:tc>
        <w:tc>
          <w:tcPr>
            <w:tcW w:type="dxa" w:w="1814"/>
          </w:tcPr>
          <w:p>
            <w:pPr>
              <w:spacing w:lineRule="exact" w:line="600"/>
              <w:jc w:val="center"/>
            </w:pPr>
            <w:r/>
            <w:r>
              <w:rPr>
                <w:rFonts w:ascii="仿宋_GB2312" w:hAnsi="仿宋_GB2312" w:eastAsia="仿宋_GB2312"/>
                <w:b w:val="0"/>
                <w:color w:val="000000"/>
                <w:sz w:val="32"/>
              </w:rPr>
              <w:t>原胜利石油管理局总机械厂改制员工</w:t>
            </w:r>
          </w:p>
        </w:tc>
      </w:tr>
      <w:tr>
        <w:tc>
          <w:tcPr>
            <w:tcW w:type="dxa" w:w="2494"/>
          </w:tcPr>
          <w:p>
            <w:pPr>
              <w:spacing w:lineRule="exact" w:line="600"/>
              <w:jc w:val="center"/>
            </w:pPr>
            <w:r/>
            <w:r>
              <w:rPr>
                <w:rFonts w:ascii="仿宋_GB2312" w:hAnsi="仿宋_GB2312" w:eastAsia="仿宋_GB2312"/>
                <w:b w:val="0"/>
                <w:color w:val="000000"/>
                <w:sz w:val="32"/>
              </w:rPr>
              <w:t>国有参股股东</w:t>
            </w:r>
          </w:p>
        </w:tc>
        <w:tc>
          <w:tcPr>
            <w:tcW w:type="dxa" w:w="3175"/>
          </w:tcPr>
          <w:p>
            <w:pPr>
              <w:spacing w:lineRule="exact" w:line="600"/>
              <w:jc w:val="center"/>
            </w:pPr>
            <w:r/>
            <w:r>
              <w:rPr>
                <w:rFonts w:ascii="仿宋_GB2312" w:hAnsi="仿宋_GB2312" w:eastAsia="仿宋_GB2312"/>
                <w:b w:val="0"/>
                <w:color w:val="000000"/>
                <w:sz w:val="32"/>
              </w:rPr>
              <w:t>东营市新动能投资管理有限公司</w:t>
            </w:r>
          </w:p>
        </w:tc>
        <w:tc>
          <w:tcPr>
            <w:tcW w:type="dxa" w:w="1474"/>
          </w:tcPr>
          <w:p>
            <w:pPr>
              <w:spacing w:lineRule="exact" w:line="600"/>
              <w:jc w:val="center"/>
            </w:pPr>
            <w:r/>
            <w:r>
              <w:rPr>
                <w:rFonts w:ascii="仿宋_GB2312" w:hAnsi="仿宋_GB2312" w:eastAsia="仿宋_GB2312"/>
                <w:b w:val="0"/>
                <w:color w:val="000000"/>
                <w:sz w:val="32"/>
              </w:rPr>
              <w:t>约6.7%</w:t>
            </w:r>
          </w:p>
        </w:tc>
        <w:tc>
          <w:tcPr>
            <w:tcW w:type="dxa" w:w="1814"/>
          </w:tcPr>
          <w:p>
            <w:pPr>
              <w:spacing w:lineRule="exact" w:line="600"/>
              <w:jc w:val="center"/>
            </w:pPr>
            <w:r/>
            <w:r>
              <w:rPr>
                <w:rFonts w:ascii="仿宋_GB2312" w:hAnsi="仿宋_GB2312" w:eastAsia="仿宋_GB2312"/>
                <w:b w:val="0"/>
                <w:color w:val="000000"/>
                <w:sz w:val="32"/>
              </w:rPr>
              <w:t>东营市属国有，财务性持股</w:t>
            </w:r>
          </w:p>
        </w:tc>
      </w:tr>
    </w:tbl>
    <w:p>
      <w:pPr>
        <w:spacing w:lineRule="exact" w:line="600" w:before="0" w:after="0"/>
        <w:ind w:firstLine="420"/>
        <w:jc w:val="both"/>
      </w:pPr>
      <w:r>
        <w:rPr>
          <w:rFonts w:ascii="仿宋_GB2312" w:hAnsi="仿宋_GB2312" w:eastAsia="仿宋_GB2312"/>
          <w:b w:val="0"/>
          <w:color w:val="000000"/>
          <w:sz w:val="32"/>
        </w:rPr>
        <w:t>公司实际控制人为以张喜庆为代表的改制员工集体，性质为民营（员工集体持股）企业，东营市新动能投资为国有参股小股东，不改变民营控制属性。股权结构体现"员工持股、长久绑定"的改制企业特征，团队稳定性强、利益一致。</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公司下设10个机关部室和23个生产经营及科研单位，拥有60万平方米产业园区和677台机械加工设备，组织体系完备。董事长张喜庆，管理层由改制骨干构成。对外投资11家企业，形成以石油装备为核心的产业生态。</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公司前身为中国石化集团胜利石油管理局总机械厂，具有60多年发展历史，是胜利油田石油装备制造的根基企业。</w:t>
      </w:r>
    </w:p>
    <w:p>
      <w:pPr>
        <w:spacing w:lineRule="exact" w:line="600" w:before="0" w:after="0"/>
        <w:ind w:firstLine="420"/>
        <w:jc w:val="both"/>
      </w:pPr>
      <w:r>
        <w:rPr>
          <w:rFonts w:ascii="仿宋_GB2312" w:hAnsi="仿宋_GB2312" w:eastAsia="仿宋_GB2312"/>
          <w:b w:val="0"/>
          <w:color w:val="000000"/>
          <w:sz w:val="32"/>
        </w:rPr>
        <w:t>2007年9月，总机械厂改制成立胜利油田胜机石油装备有限公司，由全体改制员工集体持股，实现由国企工厂向民营股份制企业的转型，保留了60余年技术与人才积淀。</w:t>
      </w:r>
    </w:p>
    <w:p>
      <w:pPr>
        <w:spacing w:lineRule="exact" w:line="600" w:before="0" w:after="0"/>
        <w:ind w:firstLine="420"/>
        <w:jc w:val="both"/>
      </w:pPr>
      <w:r>
        <w:rPr>
          <w:rFonts w:ascii="仿宋_GB2312" w:hAnsi="仿宋_GB2312" w:eastAsia="仿宋_GB2312"/>
          <w:b w:val="0"/>
          <w:color w:val="000000"/>
          <w:sz w:val="32"/>
        </w:rPr>
        <w:t>改制后，公司坚持科技兴企、两级开发科研模式，产品实现系列化，获评国家级制造业单项冠军企业、专精特新"小巨人"企业、企业技术中心、高新技术企业、绿色制造等资质，2022年完成A轮融资，步入资本化发展新阶段。</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公司战略定位为不断成长的石油装备制造与工程技术服务商，是东营市注采装备产业链链主企业。</w:t>
      </w:r>
    </w:p>
    <w:p>
      <w:pPr>
        <w:spacing w:lineRule="exact" w:line="600" w:before="0" w:after="0"/>
        <w:ind w:firstLine="420"/>
        <w:jc w:val="both"/>
      </w:pPr>
      <w:r>
        <w:rPr>
          <w:rFonts w:ascii="仿宋_GB2312" w:hAnsi="仿宋_GB2312" w:eastAsia="仿宋_GB2312"/>
          <w:b w:val="0"/>
          <w:color w:val="000000"/>
          <w:sz w:val="32"/>
        </w:rPr>
        <w:t>主营业务为石油钻采设备及各类压力容器（锅炉压力容器）的开发、制造，以及石油工程设备安装、检修、工程技术服务。核心产品线涵盖油套管（内衬油管、内涂层油管、内衬超高分子量聚乙烯地面管线及柔性复合连续管）、抽油机、抽油泵、井口装置和采油树、锅炉压力容器、油气井多相流量计、三次采油装备、油田修井作业自动化装备等。</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公司业务由石油装备制造（油套管、抽油机、抽油泵、井口采油树、锅炉压力容器等）与石油工程技术服务（安装、检修、作业自动化）两大板块构成。因公司为非上市企业，分产品收入占比未公开披露。</w:t>
      </w:r>
    </w:p>
    <w:p>
      <w:pPr>
        <w:spacing w:lineRule="exact" w:line="600" w:before="0" w:after="0"/>
        <w:ind w:firstLine="420"/>
        <w:jc w:val="both"/>
      </w:pPr>
      <w:r>
        <w:rPr>
          <w:rFonts w:ascii="仿宋_GB2312" w:hAnsi="仿宋_GB2312" w:eastAsia="仿宋_GB2312"/>
          <w:b w:val="0"/>
          <w:color w:val="000000"/>
          <w:sz w:val="32"/>
        </w:rPr>
        <w:t>从定位看，稠油注采装备为公司单项冠军品类，油套管、抽油机、井口装置为规模主力，工程技术服务为增值延伸。</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第一，稠油注采装备。公司单项冠军产品，面向稠油开采的注汽、采油一体化装备，技术国内领先，是公司的标志性优势品类。</w:t>
      </w:r>
    </w:p>
    <w:p>
      <w:pPr>
        <w:spacing w:lineRule="exact" w:line="600" w:before="0" w:after="0"/>
        <w:ind w:firstLine="420"/>
        <w:jc w:val="both"/>
      </w:pPr>
      <w:r>
        <w:rPr>
          <w:rFonts w:ascii="仿宋_GB2312" w:hAnsi="仿宋_GB2312" w:eastAsia="仿宋_GB2312"/>
          <w:b w:val="0"/>
          <w:color w:val="000000"/>
          <w:sz w:val="32"/>
        </w:rPr>
        <w:t>第二，油套管系列。专注特种管产品研发制造，核心包括内衬油管、内涂层油管、内衬超高分子量聚乙烯地面管线及柔性复合连续管，防腐与耐磨性能突出。</w:t>
      </w:r>
    </w:p>
    <w:p>
      <w:pPr>
        <w:spacing w:lineRule="exact" w:line="600" w:before="0" w:after="0"/>
        <w:ind w:firstLine="420"/>
        <w:jc w:val="both"/>
      </w:pPr>
      <w:r>
        <w:rPr>
          <w:rFonts w:ascii="仿宋_GB2312" w:hAnsi="仿宋_GB2312" w:eastAsia="仿宋_GB2312"/>
          <w:b w:val="0"/>
          <w:color w:val="000000"/>
          <w:sz w:val="32"/>
        </w:rPr>
        <w:t>第三，抽油机与抽油泵。常规采油装备，面向油田规模化需求。</w:t>
      </w:r>
    </w:p>
    <w:p>
      <w:pPr>
        <w:spacing w:lineRule="exact" w:line="600" w:before="0" w:after="0"/>
        <w:ind w:firstLine="420"/>
        <w:jc w:val="both"/>
      </w:pPr>
      <w:r>
        <w:rPr>
          <w:rFonts w:ascii="仿宋_GB2312" w:hAnsi="仿宋_GB2312" w:eastAsia="仿宋_GB2312"/>
          <w:b w:val="0"/>
          <w:color w:val="000000"/>
          <w:sz w:val="32"/>
        </w:rPr>
        <w:t>第四，井口装置和采油树、锅炉压力容器。压力容器制造资质完备，是中石化体系长期配套产品。</w:t>
      </w:r>
    </w:p>
    <w:p>
      <w:pPr>
        <w:spacing w:lineRule="exact" w:line="600" w:before="0" w:after="0"/>
        <w:ind w:firstLine="420"/>
        <w:jc w:val="both"/>
      </w:pPr>
      <w:r>
        <w:rPr>
          <w:rFonts w:ascii="仿宋_GB2312" w:hAnsi="仿宋_GB2312" w:eastAsia="仿宋_GB2312"/>
          <w:b w:val="0"/>
          <w:color w:val="000000"/>
          <w:sz w:val="32"/>
        </w:rPr>
        <w:t>第五，油气井多相流量计、三次采油装备、修井作业自动化装备。面向智能化、提高采收率方向，是公司技术升级重点。</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公司核心客户为中石化、中石油、中海油等国内三大石油公司及其下属油田单位，尤其深度绑定胜利油田（地缘与历史渊源），客户层级高、订单稳定。同时产品远销多个国家和地区，国际化稳步推进。</w:t>
      </w:r>
    </w:p>
    <w:p>
      <w:pPr>
        <w:spacing w:lineRule="exact" w:line="600" w:before="0" w:after="0"/>
        <w:ind w:firstLine="420"/>
        <w:jc w:val="both"/>
      </w:pPr>
      <w:r>
        <w:rPr>
          <w:rFonts w:ascii="仿宋_GB2312" w:hAnsi="仿宋_GB2312" w:eastAsia="仿宋_GB2312"/>
          <w:b w:val="0"/>
          <w:color w:val="000000"/>
          <w:sz w:val="32"/>
        </w:rPr>
        <w:t>客户集中度高（以国内三大油为主）是优势也是风险：优势在于订单稳定、回款相对有保障；风险在于对国内油气资本开支与三大油采购政策依赖度高。</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公司上游为钢材、铸锻件、阀门管件、电气液压元件等，依托东营石油装备产业集群与胜利油田供应链配套，采购便利、成本可控。</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产能方面，公司拥有60万平方米产业园区、677台机械加工设备、冷/热加工配套工艺，制造规模在国内注采装备企业中居前。</w:t>
      </w:r>
    </w:p>
    <w:p>
      <w:pPr>
        <w:spacing w:lineRule="exact" w:line="600" w:before="0" w:after="0"/>
        <w:ind w:firstLine="420"/>
        <w:jc w:val="both"/>
      </w:pPr>
      <w:r>
        <w:rPr>
          <w:rFonts w:ascii="仿宋_GB2312" w:hAnsi="仿宋_GB2312" w:eastAsia="仿宋_GB2312"/>
          <w:b w:val="0"/>
          <w:color w:val="000000"/>
          <w:sz w:val="32"/>
        </w:rPr>
        <w:t>资源方面，核心资源为60余年石油装备制造技术积淀、200余项专利（公开口径专利408项）、与三大油的深度客户关系、以及注采装备链主生态。</w:t>
      </w:r>
    </w:p>
    <w:p>
      <w:pPr>
        <w:spacing w:lineRule="exact" w:line="600" w:before="0" w:after="0"/>
        <w:ind w:firstLine="420"/>
        <w:jc w:val="both"/>
      </w:pPr>
      <w:r>
        <w:rPr>
          <w:rFonts w:ascii="仿宋_GB2312" w:hAnsi="仿宋_GB2312" w:eastAsia="仿宋_GB2312"/>
          <w:b w:val="0"/>
          <w:color w:val="000000"/>
          <w:sz w:val="32"/>
        </w:rPr>
        <w:t>牌照资质方面，公司为国家级制造业单项冠军企业、专精特新"小巨人"、企业技术中心、高新技术企业、绿色制造示范、国家级知识产权示范企业，持有特种设备制造与压力容器等许可，资质体系在国内同行业中极为突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公司采用"大客户直供＋工程服务"模式，深耕三大油及其下属油田，国内销售网络成熟；同时设国际销售部门拓展海外，产品远销多国。销售以项目与框架协议驱动。</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经营规模方面，公司员工900余人（官网口径）/867人（2025年社保），注册资本1.3亿元，为中型/大型石油装备企业。公开报道口径年营业收入近10亿元（集群调研信息），是东营注采装备链主。</w:t>
      </w:r>
    </w:p>
    <w:p>
      <w:pPr>
        <w:spacing w:lineRule="exact" w:line="600" w:before="0" w:after="0"/>
        <w:ind w:firstLine="420"/>
        <w:jc w:val="both"/>
      </w:pPr>
      <w:r>
        <w:rPr>
          <w:rFonts w:ascii="仿宋_GB2312" w:hAnsi="仿宋_GB2312" w:eastAsia="仿宋_GB2312"/>
          <w:b w:val="0"/>
          <w:color w:val="000000"/>
          <w:sz w:val="32"/>
        </w:rPr>
        <w:t>市场地位方面，公司是东营市注采石油装备产业链链主企业，稠油注采装备单项冠军，油套管、抽油机等产品国内领先，在胜利油田及国内注采装备市场具备显著影响力。</w:t>
      </w:r>
    </w:p>
    <w:p>
      <w:pPr>
        <w:spacing w:lineRule="exact" w:line="600" w:before="0" w:after="0"/>
        <w:ind w:firstLine="420"/>
        <w:jc w:val="both"/>
      </w:pPr>
      <w:r>
        <w:rPr>
          <w:rFonts w:ascii="仿宋_GB2312" w:hAnsi="仿宋_GB2312" w:eastAsia="仿宋_GB2312"/>
          <w:b w:val="0"/>
          <w:color w:val="000000"/>
          <w:sz w:val="32"/>
        </w:rPr>
        <w:t>需说明：公司为非上市民营企业，单体经审计财务数据未公开披露，文中"年营收近10亿元"为公开报道/集群调研口径，非审计数据，不作精确量化推定。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（一）数据可获取性说明</w:t>
      </w:r>
    </w:p>
    <w:p>
      <w:pPr>
        <w:spacing w:lineRule="exact" w:line="600" w:before="0" w:after="0"/>
        <w:ind w:firstLine="420"/>
        <w:jc w:val="both"/>
      </w:pPr>
      <w:r>
        <w:rPr>
          <w:rFonts w:ascii="仿宋_GB2312" w:hAnsi="仿宋_GB2312" w:eastAsia="仿宋_GB2312"/>
          <w:b w:val="0"/>
          <w:color w:val="000000"/>
          <w:sz w:val="32"/>
        </w:rPr>
        <w:t>胜利油田胜机石油装备有限公司为非上市民营企业，其单体经审计财务报表未向社会公开披露，亦无合并上市公司可参照。据此，本报告无法提供经审计的财务科目数据，不对未披露指标作推定或估算，特此说明。</w:t>
      </w:r>
    </w:p>
    <w:p>
      <w:pPr>
        <w:spacing w:lineRule="exact" w:line="600" w:before="120" w:after="120"/>
        <w:ind w:firstLine="420"/>
        <w:jc w:val="left"/>
      </w:pPr>
      <w:r>
        <w:rPr>
          <w:rFonts w:ascii="楷体_GB2312" w:hAnsi="楷体_GB2312" w:eastAsia="楷体_GB2312"/>
          <w:b w:val="0"/>
          <w:color w:val="000000"/>
          <w:sz w:val="32"/>
        </w:rPr>
        <w:t>（二）可公开印证的经营规模</w:t>
      </w:r>
    </w:p>
    <w:p>
      <w:pPr>
        <w:spacing w:lineRule="exact" w:line="600" w:before="0" w:after="0"/>
        <w:ind w:firstLine="420"/>
        <w:jc w:val="both"/>
      </w:pPr>
      <w:r>
        <w:rPr>
          <w:rFonts w:ascii="仿宋_GB2312" w:hAnsi="仿宋_GB2312" w:eastAsia="仿宋_GB2312"/>
          <w:b w:val="0"/>
          <w:color w:val="000000"/>
          <w:sz w:val="32"/>
        </w:rPr>
        <w:t>基于公开工商与官网信息，可确认以下非审计经营规模：注册资本13006万元（实缴基本到位）、员工900余人（2025年社保867人）、60万平方米产业园、677台设备、200余项专利、年营收近10亿元（公开报道/集群调研口径）。上述数据为工商、官网与报道口径，不代表经审计财务数据。</w:t>
      </w:r>
    </w:p>
    <w:p>
      <w:pPr>
        <w:spacing w:lineRule="exact" w:line="600" w:before="120" w:after="120"/>
        <w:ind w:firstLine="420"/>
        <w:jc w:val="left"/>
      </w:pPr>
      <w:r>
        <w:rPr>
          <w:rFonts w:ascii="楷体_GB2312" w:hAnsi="楷体_GB2312" w:eastAsia="楷体_GB2312"/>
          <w:b w:val="0"/>
          <w:color w:val="000000"/>
          <w:sz w:val="32"/>
        </w:rPr>
        <w:t>（三）财务特征研判</w:t>
      </w:r>
    </w:p>
    <w:p>
      <w:pPr>
        <w:spacing w:lineRule="exact" w:line="600" w:before="0" w:after="0"/>
        <w:ind w:firstLine="420"/>
        <w:jc w:val="both"/>
      </w:pPr>
      <w:r>
        <w:rPr>
          <w:rFonts w:ascii="仿宋_GB2312" w:hAnsi="仿宋_GB2312" w:eastAsia="仿宋_GB2312"/>
          <w:b w:val="0"/>
          <w:color w:val="000000"/>
          <w:sz w:val="32"/>
        </w:rPr>
        <w:t>结合行业属性，可研判（非精确数据）：第一，石油装备与压力容器制造属重资产，60万平米园区与677台设备意味着较高的固定资产；第二，客户为三大油，回款相对有保障但账期较长，应收账款规模可能较大；第三，2022年完成A轮融资，资本结构引入外部投资者，利于优化但也可能提升财务杠杆。真实盈利、负债与现金流需在取得经审计财务报表后核实。</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改制员工集体持股的民营企业，建立"股东会—董事会—经理层"治理架构，董事长张喜庆为实控人，决策集中、团队稳定。2022年A轮融资后引入外部股东，治理规范性有所提升，但整体仍属民营中小企业治理模式。</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董事长张喜庆，为公司实际控制人，带领改制团队由国企工厂转型为民营股份企业，管理层稳定、产业经验深厚。核心管理层多为原总机械厂技术与管理骨干，团队凝聚力强。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公司作为国家级单项冠军与高新技术企业，需执行严格的质量、安全、环保体系；持有特种设备与压力容器制造许可，合规要求高。建议授信前核查其安全生产与环保合规状况。</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900余人（2025年社保867人），在石油装备企业中规模较大，技术工人与研发人员储备充实（200余项专利反映研发人力基础）。作为东营骨干制造企业，是地方就业与产业人才重要承载。员工持股结构增强了人才稳定性。</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一是单项冠军与资质壁垒。国家级制造业单项冠军、专精特新"小巨人"、企业技术中心、高新技术企业等资质密集，稠油注采装备单项冠军地位构成技术与市场双重壁垒。</w:t>
      </w:r>
    </w:p>
    <w:p>
      <w:pPr>
        <w:spacing w:lineRule="exact" w:line="600" w:before="0" w:after="0"/>
        <w:ind w:firstLine="420"/>
        <w:jc w:val="both"/>
      </w:pPr>
      <w:r>
        <w:rPr>
          <w:rFonts w:ascii="仿宋_GB2312" w:hAnsi="仿宋_GB2312" w:eastAsia="仿宋_GB2312"/>
          <w:b w:val="0"/>
          <w:color w:val="000000"/>
          <w:sz w:val="32"/>
        </w:rPr>
        <w:t>二是历史积淀与客户绑定。60余年石油装备制造历史，与三大油（尤其胜利油田）深度绑定，客户转换成本高、订单稳定。</w:t>
      </w:r>
    </w:p>
    <w:p>
      <w:pPr>
        <w:spacing w:lineRule="exact" w:line="600" w:before="0" w:after="0"/>
        <w:ind w:firstLine="420"/>
        <w:jc w:val="both"/>
      </w:pPr>
      <w:r>
        <w:rPr>
          <w:rFonts w:ascii="仿宋_GB2312" w:hAnsi="仿宋_GB2312" w:eastAsia="仿宋_GB2312"/>
          <w:b w:val="0"/>
          <w:color w:val="000000"/>
          <w:sz w:val="32"/>
        </w:rPr>
        <w:t>三是技术与专利壁垒。200余项专利、两级开发科研模式，在油套管防腐、注采装备、修井自动化等领域形成技术积累。</w:t>
      </w:r>
    </w:p>
    <w:p>
      <w:pPr>
        <w:spacing w:lineRule="exact" w:line="600" w:before="0" w:after="0"/>
        <w:ind w:firstLine="420"/>
        <w:jc w:val="both"/>
      </w:pPr>
      <w:r>
        <w:rPr>
          <w:rFonts w:ascii="仿宋_GB2312" w:hAnsi="仿宋_GB2312" w:eastAsia="仿宋_GB2312"/>
          <w:b w:val="0"/>
          <w:color w:val="000000"/>
          <w:sz w:val="32"/>
        </w:rPr>
        <w:t>四是规模与制造能力。60万平米园区、677台设备、冷热加工配套，交付能力与规模居国内前列。</w:t>
      </w:r>
    </w:p>
    <w:p>
      <w:pPr>
        <w:spacing w:lineRule="exact" w:line="600" w:before="0" w:after="0"/>
        <w:ind w:firstLine="420"/>
        <w:jc w:val="both"/>
      </w:pPr>
      <w:r>
        <w:rPr>
          <w:rFonts w:ascii="仿宋_GB2312" w:hAnsi="仿宋_GB2312" w:eastAsia="仿宋_GB2312"/>
          <w:b w:val="0"/>
          <w:color w:val="000000"/>
          <w:sz w:val="32"/>
        </w:rPr>
        <w:t>五是员工持股的团队稳定。改制员工集体持股，利益一致、核心团队稳定，是隐性竞争力。</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第一，油气行业周期风险。公司装备需求与国内油气勘探开发资本开支高度相关，受国家能源政策与油价影响。</w:t>
      </w:r>
    </w:p>
    <w:p>
      <w:pPr>
        <w:spacing w:lineRule="exact" w:line="600" w:before="0" w:after="0"/>
        <w:ind w:firstLine="420"/>
        <w:jc w:val="both"/>
      </w:pPr>
      <w:r>
        <w:rPr>
          <w:rFonts w:ascii="仿宋_GB2312" w:hAnsi="仿宋_GB2312" w:eastAsia="仿宋_GB2312"/>
          <w:b w:val="0"/>
          <w:color w:val="000000"/>
          <w:sz w:val="32"/>
        </w:rPr>
        <w:t>第二，客户集中风险。高度依赖三大油采购，若其资本开支下调或采购政策变化，订单将受冲击。</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第一，应收账款与回款风险。大客户账期较长，若三大油资金安排收紧，应收账款坏账与现金流压力上升。</w:t>
      </w:r>
    </w:p>
    <w:p>
      <w:pPr>
        <w:spacing w:lineRule="exact" w:line="600" w:before="0" w:after="0"/>
        <w:ind w:firstLine="420"/>
        <w:jc w:val="both"/>
      </w:pPr>
      <w:r>
        <w:rPr>
          <w:rFonts w:ascii="仿宋_GB2312" w:hAnsi="仿宋_GB2312" w:eastAsia="仿宋_GB2312"/>
          <w:b w:val="0"/>
          <w:color w:val="000000"/>
          <w:sz w:val="32"/>
        </w:rPr>
        <w:t>第二，重资产与产能利用风险。60万平米园区固定资产规模大，若订单波动，产能利用率与折旧压力将显现。</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财务透明度不足风险。单体财务未公开披露，外部授信需专项尽调获取真实资产负债与现金流；2022年A轮后股权结构变化需关注对控制权的潜在影响。</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司法涉诉风险：公开口径显示公司存在一定数量司法案件（启信宝风险总量233、自身风险17），授信前建议逐案核查案由、标的与执行情况，重点关注质量、安全、环保等实质性风险。特种设备与压力容器制造的安全合规亦为常规风险点。</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民营集体持股、实控人主导，存在决策集中与代际传承安排不确定等常规风险；A轮后新老股东协调亦需关注。</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应对措施包括：一是深耕三大油、稳固基本盘；二是拓展海外与工程技术服务，分散客户集中风险；三是持续研发（单项冠军＋小巨人）保持技术领先；四是推进绿色智造（亮相东营石油装备展"绿创未来"主题）。</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公司为中型/大型民营石油装备链主，资产以园区厂房与制造设备为主，应收账款规模较大（大客户账期），融资需求以设备升级、原材料采购周转、应收账款盘活与工程垫资为主，规模可观。山东投资可围绕保理、供应链金融与融资租赁切入。</w:t>
      </w:r>
    </w:p>
    <w:p>
      <w:pPr>
        <w:spacing w:lineRule="exact" w:line="600" w:before="120" w:after="120"/>
        <w:ind w:firstLine="420"/>
        <w:jc w:val="left"/>
      </w:pPr>
      <w:r>
        <w:rPr>
          <w:rFonts w:ascii="楷体_GB2312" w:hAnsi="楷体_GB2312" w:eastAsia="楷体_GB2312"/>
          <w:b w:val="0"/>
          <w:color w:val="000000"/>
          <w:sz w:val="32"/>
        </w:rPr>
        <w:t>（二）保理业务（重点推荐）</w:t>
      </w:r>
    </w:p>
    <w:p>
      <w:pPr>
        <w:spacing w:lineRule="exact" w:line="600" w:before="0" w:after="0"/>
        <w:ind w:firstLine="420"/>
        <w:jc w:val="both"/>
      </w:pPr>
      <w:r>
        <w:rPr>
          <w:rFonts w:ascii="仿宋_GB2312" w:hAnsi="仿宋_GB2312" w:eastAsia="仿宋_GB2312"/>
          <w:b w:val="0"/>
          <w:color w:val="000000"/>
          <w:sz w:val="32"/>
        </w:rPr>
        <w:t>公司面向三大油的销售形成大量应收账款，账期较长，保理是最契合的产品：以三大油等优质买方为背景开展有追索权/无追索权保理，可显著盘活流动性、缓解垫资压力。这是与该公司协同度最高的方向。</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向上游，可依托钢材、铸锻件等供应商开展采购端融资与应收账款确权；以胜机石油为核心企业，为其下游配套中小企业提供基于真实交易的采购融资，协同价值较高。</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公司677台设备与冷热加工产线单值高，可通过直接租赁更新智能装备、提升产能；存量设备可通过售后回租补充流动资金。承租人为国家级单项冠军、A轮企业，信用状况较好。</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小贷可用于原材料采购备货与工程垫资（单户50万—500万元），契合其产业链中小配套企业特征，可依托供应链金融统一开展。</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业务优先级：第一，保理（三大油应收账款），需求最真实、风险相对可控；第二，供应链金融（上下游链式融资）；第三，融资租赁（设备更新与回租）；第四，小贷（采购与垫资）。</w:t>
      </w:r>
    </w:p>
    <w:p>
      <w:pPr>
        <w:spacing w:lineRule="exact" w:line="600" w:before="0" w:after="0"/>
        <w:ind w:firstLine="420"/>
        <w:jc w:val="both"/>
      </w:pPr>
      <w:r>
        <w:rPr>
          <w:rFonts w:ascii="仿宋_GB2312" w:hAnsi="仿宋_GB2312" w:eastAsia="仿宋_GB2312"/>
          <w:b w:val="0"/>
          <w:color w:val="000000"/>
          <w:sz w:val="32"/>
        </w:rPr>
        <w:t>风控要点：一是取得经审计或真实财务报表，核实资产负债与现金流；二是重点核查三大油应收账款账龄、确权与回款节奏；三是关注油气资本开支周期对订单的影响；四是核查诉讼、安全环保合规；五是落实民营用信的实控人连带担保。</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胜利油田胜机石油装备有限公司是东营市注采装备产业链链主，由原胜利石油管理局总机械厂改制成立的员工集体持股民营企业，拥有60余年技术积淀，是国家级制造业单项冠军、专精特新"小巨人"、高新技术企业，稠油注采装备单项冠军地位突出，与三大油（尤其胜利油田）深度绑定，员工900余人、年营收近10亿元。</w:t>
      </w:r>
    </w:p>
    <w:p>
      <w:pPr>
        <w:spacing w:lineRule="exact" w:line="600" w:before="0" w:after="0"/>
        <w:ind w:firstLine="420"/>
        <w:jc w:val="both"/>
      </w:pPr>
      <w:r>
        <w:rPr>
          <w:rFonts w:ascii="仿宋_GB2312" w:hAnsi="仿宋_GB2312" w:eastAsia="仿宋_GB2312"/>
          <w:b w:val="0"/>
          <w:color w:val="000000"/>
          <w:sz w:val="32"/>
        </w:rPr>
        <w:t>公司核心优势为"单项冠军资质+历史客户绑定+技术专利+规模制造+员工持股稳定"；主要短板是客户集中度高、重资产、财务透明度不足、存在一定司法风险。</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发展主线：一是深耕三大油、稳固注采装备基本盘；二是拓展海外与工程技术服务，分散客户集中风险；三是推进绿色智造与装备智能化（修井自动化、多相流量计等）；四是借助A轮资本，优化治理与产能。</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一是油气周期与三大油采购政策波动；二是客户集中度高；三是应收账款与回款压力；四是重资产折旧；五是财务透明度与诉讼风险。</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结论：胜机石油是东营注采装备领域资质突出、客户稳定的民营链主，信用风险中等偏低（依托三大油回款与单项冠军地位），融资需求真实，是山东投资在集群内应重点合作的中大型客户。</w:t>
      </w:r>
    </w:p>
    <w:p>
      <w:pPr>
        <w:spacing w:lineRule="exact" w:line="600" w:before="0" w:after="0"/>
        <w:ind w:firstLine="420"/>
        <w:jc w:val="both"/>
      </w:pPr>
      <w:r>
        <w:rPr>
          <w:rFonts w:ascii="仿宋_GB2312" w:hAnsi="仿宋_GB2312" w:eastAsia="仿宋_GB2312"/>
          <w:b w:val="0"/>
          <w:color w:val="000000"/>
          <w:sz w:val="32"/>
        </w:rPr>
        <w:t>对企业的建议：一是坚定技术与绿色智造升级；二是加强应收账款管理；三是提升财务透明度；四是稳妥化解存量诉讼。</w:t>
      </w:r>
    </w:p>
    <w:p>
      <w:pPr>
        <w:spacing w:lineRule="exact" w:line="600" w:before="0" w:after="0"/>
        <w:ind w:firstLine="420"/>
        <w:jc w:val="both"/>
      </w:pPr>
      <w:r>
        <w:rPr>
          <w:rFonts w:ascii="仿宋_GB2312" w:hAnsi="仿宋_GB2312" w:eastAsia="仿宋_GB2312"/>
          <w:b w:val="0"/>
          <w:color w:val="000000"/>
          <w:sz w:val="32"/>
        </w:rPr>
        <w:t>对山东投资的建议：将胜机石油列为集群内重点客户，以保理（三大油应收）与供应链金融为主切入，辅以融资租赁，严格风控、实控人担保，逐步建立信用合作。</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统一社会信用代码、成立时间、法定代表人、注册资本、实缴资本、企业类型、登记状态、经营范围、注册地址、社保人数、资质荣誉、司法风险）来源于国家企业信用信息公示系统及天眼查、企查查、启信宝公开快照。</w:t>
      </w:r>
    </w:p>
    <w:p>
      <w:pPr>
        <w:spacing w:lineRule="exact" w:line="600" w:before="0" w:after="0"/>
        <w:ind w:firstLine="420"/>
        <w:jc w:val="both"/>
      </w:pPr>
      <w:r>
        <w:rPr>
          <w:rFonts w:ascii="仿宋_GB2312" w:hAnsi="仿宋_GB2312" w:eastAsia="仿宋_GB2312"/>
          <w:b w:val="0"/>
          <w:color w:val="000000"/>
          <w:sz w:val="32"/>
        </w:rPr>
        <w:t>股权结构与实际控制人信息（改制员工集体持股、张喜庆为最大股东、东营市新动能投资国有参股约6.7%）来源于公开工商信息与股权穿透数据。</w:t>
      </w:r>
    </w:p>
    <w:p>
      <w:pPr>
        <w:spacing w:lineRule="exact" w:line="600" w:before="0" w:after="0"/>
        <w:ind w:firstLine="420"/>
        <w:jc w:val="both"/>
      </w:pPr>
      <w:r>
        <w:rPr>
          <w:rFonts w:ascii="仿宋_GB2312" w:hAnsi="仿宋_GB2312" w:eastAsia="仿宋_GB2312"/>
          <w:b w:val="0"/>
          <w:color w:val="000000"/>
          <w:sz w:val="32"/>
        </w:rPr>
        <w:t>产品与产能信息（油套管/抽油机/井口采油树/锅炉压力容器、稠油注采装备单项冠军、60万平米园区、677台设备、200余项专利、年营收近10亿元、注采装备链主、A轮融资、官网案例）来源于公司官网（www.sjpec.cn）及东营区政府公开信息。</w:t>
      </w:r>
    </w:p>
    <w:p>
      <w:pPr>
        <w:spacing w:lineRule="exact" w:line="600" w:before="0" w:after="0"/>
        <w:ind w:firstLine="420"/>
        <w:jc w:val="both"/>
      </w:pPr>
      <w:r>
        <w:rPr>
          <w:rFonts w:ascii="仿宋_GB2312" w:hAnsi="仿宋_GB2312" w:eastAsia="仿宋_GB2312"/>
          <w:b w:val="0"/>
          <w:color w:val="000000"/>
          <w:sz w:val="32"/>
        </w:rPr>
        <w:t>财务数据特别说明：胜利油田胜机石油装备有限公司为非上市民营企业，单体经审计财务报表未公开披露，故本报告未列示具体财务科目数据，亦不作推定；文中注册资本、人员、年营收等数据来自公开工商、官网与报道口径，未经审计验证。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