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东营市东营经济技术开发区新型功能材料特色产业集群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东营欣邦电子科技有限公司企业分析报告</w:t>
      </w:r>
    </w:p>
    <w:p>
      <w:pPr>
        <w:spacing w:lineRule="exact" w:line="600" w:before="0" w:after="0"/>
        <w:jc w:val="left"/>
      </w:pPr>
      <w:r>
        <w:rPr>
          <w:rFonts w:ascii="仿宋_GB2312" w:hAnsi="仿宋_GB2312" w:eastAsia="仿宋_GB2312"/>
          <w:b w:val="0"/>
          <w:color w:val="000000"/>
          <w:sz w:val="28"/>
        </w:rPr>
        <w:t>（本报告依据公开工商信息、企业信用平台及权威公开报道整理编制，供山东省投资集团有限公司产业研究与投融资决策参考。该公司为非上市企业，财务数据未公开披露，相关财务章节以"财务数据未公开披露"标注，严禁编造。）</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东营欣邦电子科技有限公司成立于2018年3月13日，统一社会信用代码91370500MA3MRJGE80，注册地址位于山东省东营市东营区大渡河路167号，法定代表人为王树峰，注册资本8347.8261万元人民币，企业类型为其他有限责任公司，登记机关为东营经济技术开发区市场监督管理局。公司主营电子科技技术研发，聚酰亚胺薄膜生产、销售及技术研发与技术服务，绝缘产品、铜材及铜制品销售，以及进出口业务。</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7087"/>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公司全称</w:t>
            </w:r>
          </w:p>
        </w:tc>
        <w:tc>
          <w:tcPr>
            <w:tcW w:type="dxa" w:w="7087"/>
          </w:tcPr>
          <w:p>
            <w:pPr>
              <w:spacing w:lineRule="exact" w:line="600"/>
              <w:jc w:val="center"/>
            </w:pPr>
            <w:r/>
            <w:r>
              <w:rPr>
                <w:rFonts w:ascii="仿宋_GB2312" w:hAnsi="仿宋_GB2312" w:eastAsia="仿宋_GB2312"/>
                <w:b w:val="0"/>
                <w:color w:val="000000"/>
                <w:sz w:val="32"/>
              </w:rPr>
              <w:t>东营欣邦电子科技有限公司</w:t>
            </w:r>
          </w:p>
        </w:tc>
      </w:tr>
      <w:tr>
        <w:tc>
          <w:tcPr>
            <w:tcW w:type="dxa" w:w="2551"/>
          </w:tcPr>
          <w:p>
            <w:pPr>
              <w:spacing w:lineRule="exact" w:line="600"/>
              <w:jc w:val="center"/>
            </w:pPr>
            <w:r/>
            <w:r>
              <w:rPr>
                <w:rFonts w:ascii="仿宋_GB2312" w:hAnsi="仿宋_GB2312" w:eastAsia="仿宋_GB2312"/>
                <w:b w:val="0"/>
                <w:color w:val="000000"/>
                <w:sz w:val="32"/>
              </w:rPr>
              <w:t>统一社会信用代码</w:t>
            </w:r>
          </w:p>
        </w:tc>
        <w:tc>
          <w:tcPr>
            <w:tcW w:type="dxa" w:w="7087"/>
          </w:tcPr>
          <w:p>
            <w:pPr>
              <w:spacing w:lineRule="exact" w:line="600"/>
              <w:jc w:val="center"/>
            </w:pPr>
            <w:r/>
            <w:r>
              <w:rPr>
                <w:rFonts w:ascii="仿宋_GB2312" w:hAnsi="仿宋_GB2312" w:eastAsia="仿宋_GB2312"/>
                <w:b w:val="0"/>
                <w:color w:val="000000"/>
                <w:sz w:val="32"/>
              </w:rPr>
              <w:t>91370500MA3MRJGE80</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7087"/>
          </w:tcPr>
          <w:p>
            <w:pPr>
              <w:spacing w:lineRule="exact" w:line="600"/>
              <w:jc w:val="center"/>
            </w:pPr>
            <w:r/>
            <w:r>
              <w:rPr>
                <w:rFonts w:ascii="仿宋_GB2312" w:hAnsi="仿宋_GB2312" w:eastAsia="仿宋_GB2312"/>
                <w:b w:val="0"/>
                <w:color w:val="000000"/>
                <w:sz w:val="32"/>
              </w:rPr>
              <w:t>2018年3月13日</w:t>
            </w:r>
          </w:p>
        </w:tc>
      </w:tr>
      <w:tr>
        <w:tc>
          <w:tcPr>
            <w:tcW w:type="dxa" w:w="2551"/>
          </w:tcPr>
          <w:p>
            <w:pPr>
              <w:spacing w:lineRule="exact" w:line="600"/>
              <w:jc w:val="center"/>
            </w:pPr>
            <w:r/>
            <w:r>
              <w:rPr>
                <w:rFonts w:ascii="仿宋_GB2312" w:hAnsi="仿宋_GB2312" w:eastAsia="仿宋_GB2312"/>
                <w:b w:val="0"/>
                <w:color w:val="000000"/>
                <w:sz w:val="32"/>
              </w:rPr>
              <w:t>法定代表人</w:t>
            </w:r>
          </w:p>
        </w:tc>
        <w:tc>
          <w:tcPr>
            <w:tcW w:type="dxa" w:w="7087"/>
          </w:tcPr>
          <w:p>
            <w:pPr>
              <w:spacing w:lineRule="exact" w:line="600"/>
              <w:jc w:val="center"/>
            </w:pPr>
            <w:r/>
            <w:r>
              <w:rPr>
                <w:rFonts w:ascii="仿宋_GB2312" w:hAnsi="仿宋_GB2312" w:eastAsia="仿宋_GB2312"/>
                <w:b w:val="0"/>
                <w:color w:val="000000"/>
                <w:sz w:val="32"/>
              </w:rPr>
              <w:t>王树峰</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7087"/>
          </w:tcPr>
          <w:p>
            <w:pPr>
              <w:spacing w:lineRule="exact" w:line="600"/>
              <w:jc w:val="center"/>
            </w:pPr>
            <w:r/>
            <w:r>
              <w:rPr>
                <w:rFonts w:ascii="仿宋_GB2312" w:hAnsi="仿宋_GB2312" w:eastAsia="仿宋_GB2312"/>
                <w:b w:val="0"/>
                <w:color w:val="000000"/>
                <w:sz w:val="32"/>
              </w:rPr>
              <w:t>8347.8261万元人民币</w:t>
            </w:r>
          </w:p>
        </w:tc>
      </w:tr>
      <w:tr>
        <w:tc>
          <w:tcPr>
            <w:tcW w:type="dxa" w:w="2551"/>
          </w:tcPr>
          <w:p>
            <w:pPr>
              <w:spacing w:lineRule="exact" w:line="600"/>
              <w:jc w:val="center"/>
            </w:pPr>
            <w:r/>
            <w:r>
              <w:rPr>
                <w:rFonts w:ascii="仿宋_GB2312" w:hAnsi="仿宋_GB2312" w:eastAsia="仿宋_GB2312"/>
                <w:b w:val="0"/>
                <w:color w:val="000000"/>
                <w:sz w:val="32"/>
              </w:rPr>
              <w:t>注册地址</w:t>
            </w:r>
          </w:p>
        </w:tc>
        <w:tc>
          <w:tcPr>
            <w:tcW w:type="dxa" w:w="7087"/>
          </w:tcPr>
          <w:p>
            <w:pPr>
              <w:spacing w:lineRule="exact" w:line="600"/>
              <w:jc w:val="center"/>
            </w:pPr>
            <w:r/>
            <w:r>
              <w:rPr>
                <w:rFonts w:ascii="仿宋_GB2312" w:hAnsi="仿宋_GB2312" w:eastAsia="仿宋_GB2312"/>
                <w:b w:val="0"/>
                <w:color w:val="000000"/>
                <w:sz w:val="32"/>
              </w:rPr>
              <w:t>山东省东营市东营区大渡河路167号</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7087"/>
          </w:tcPr>
          <w:p>
            <w:pPr>
              <w:spacing w:lineRule="exact" w:line="600"/>
              <w:jc w:val="center"/>
            </w:pPr>
            <w:r/>
            <w:r>
              <w:rPr>
                <w:rFonts w:ascii="仿宋_GB2312" w:hAnsi="仿宋_GB2312" w:eastAsia="仿宋_GB2312"/>
                <w:b w:val="0"/>
                <w:color w:val="000000"/>
                <w:sz w:val="32"/>
              </w:rPr>
              <w:t>其他有限责任公司（国有参控股背景）</w:t>
            </w:r>
          </w:p>
        </w:tc>
      </w:tr>
      <w:tr>
        <w:tc>
          <w:tcPr>
            <w:tcW w:type="dxa" w:w="2551"/>
          </w:tcPr>
          <w:p>
            <w:pPr>
              <w:spacing w:lineRule="exact" w:line="600"/>
              <w:jc w:val="center"/>
            </w:pPr>
            <w:r/>
            <w:r>
              <w:rPr>
                <w:rFonts w:ascii="仿宋_GB2312" w:hAnsi="仿宋_GB2312" w:eastAsia="仿宋_GB2312"/>
                <w:b w:val="0"/>
                <w:color w:val="000000"/>
                <w:sz w:val="32"/>
              </w:rPr>
              <w:t>参保/员工人数</w:t>
            </w:r>
          </w:p>
        </w:tc>
        <w:tc>
          <w:tcPr>
            <w:tcW w:type="dxa" w:w="7087"/>
          </w:tcPr>
          <w:p>
            <w:pPr>
              <w:spacing w:lineRule="exact" w:line="600"/>
              <w:jc w:val="center"/>
            </w:pPr>
            <w:r/>
            <w:r>
              <w:rPr>
                <w:rFonts w:ascii="仿宋_GB2312" w:hAnsi="仿宋_GB2312" w:eastAsia="仿宋_GB2312"/>
                <w:b w:val="0"/>
                <w:color w:val="000000"/>
                <w:sz w:val="32"/>
              </w:rPr>
              <w:t>约208人（2024年）</w:t>
            </w:r>
          </w:p>
        </w:tc>
      </w:tr>
      <w:tr>
        <w:tc>
          <w:tcPr>
            <w:tcW w:type="dxa" w:w="2551"/>
          </w:tcPr>
          <w:p>
            <w:pPr>
              <w:spacing w:lineRule="exact" w:line="600"/>
              <w:jc w:val="center"/>
            </w:pPr>
            <w:r/>
            <w:r>
              <w:rPr>
                <w:rFonts w:ascii="仿宋_GB2312" w:hAnsi="仿宋_GB2312" w:eastAsia="仿宋_GB2312"/>
                <w:b w:val="0"/>
                <w:color w:val="000000"/>
                <w:sz w:val="32"/>
              </w:rPr>
              <w:t>企业资质</w:t>
            </w:r>
          </w:p>
        </w:tc>
        <w:tc>
          <w:tcPr>
            <w:tcW w:type="dxa" w:w="7087"/>
          </w:tcPr>
          <w:p>
            <w:pPr>
              <w:spacing w:lineRule="exact" w:line="600"/>
              <w:jc w:val="center"/>
            </w:pPr>
            <w:r/>
            <w:r>
              <w:rPr>
                <w:rFonts w:ascii="仿宋_GB2312" w:hAnsi="仿宋_GB2312" w:eastAsia="仿宋_GB2312"/>
                <w:b w:val="0"/>
                <w:color w:val="000000"/>
                <w:sz w:val="32"/>
              </w:rPr>
              <w:t>高新技术企业、省级企业技术中心、省级专精特新、瞪羚企业、省级制造业单项冠军、2024年税务信用A级</w:t>
            </w:r>
          </w:p>
        </w:tc>
      </w:tr>
    </w:tbl>
    <w:p>
      <w:pPr>
        <w:spacing w:lineRule="exact" w:line="600" w:before="120" w:after="120"/>
        <w:ind w:firstLine="420"/>
        <w:jc w:val="left"/>
      </w:pPr>
      <w:r>
        <w:rPr>
          <w:rFonts w:ascii="楷体_GB2312" w:hAnsi="楷体_GB2312" w:eastAsia="楷体_GB2312"/>
          <w:b w:val="0"/>
          <w:color w:val="000000"/>
          <w:sz w:val="32"/>
        </w:rPr>
        <w:t>（二）股权结构</w:t>
      </w:r>
    </w:p>
    <w:p>
      <w:pPr>
        <w:spacing w:lineRule="exact" w:line="600" w:before="0" w:after="0"/>
        <w:ind w:firstLine="420"/>
        <w:jc w:val="both"/>
      </w:pPr>
      <w:r>
        <w:rPr>
          <w:rFonts w:ascii="仿宋_GB2312" w:hAnsi="仿宋_GB2312" w:eastAsia="仿宋_GB2312"/>
          <w:b w:val="0"/>
          <w:color w:val="000000"/>
          <w:sz w:val="32"/>
        </w:rPr>
        <w:t>公司股权结构清晰：山东中车兆源新材料有限公司持股95.8333%（认缴出资8000万元），株洲兆源机电科技有限公司持股4.1667%（认缴347.8261万元）。经股权穿透，山东中车兆源新材料有限公司的疑似实际控制人为东营经济技术开发区管理委员会，穿透持股比例约31%，公司具备国有参控股属性，属东营未来产业服务集团成员企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（一）聚酰亚胺薄膜（"黄金薄膜"）核心业务</w:t>
      </w:r>
    </w:p>
    <w:p>
      <w:pPr>
        <w:spacing w:lineRule="exact" w:line="600" w:before="0" w:after="0"/>
        <w:ind w:firstLine="420"/>
        <w:jc w:val="both"/>
      </w:pPr>
      <w:r>
        <w:rPr>
          <w:rFonts w:ascii="仿宋_GB2312" w:hAnsi="仿宋_GB2312" w:eastAsia="仿宋_GB2312"/>
          <w:b w:val="0"/>
          <w:color w:val="000000"/>
          <w:sz w:val="32"/>
        </w:rPr>
        <w:t>公司核心产品为双向拉伸法生产的聚酰亚胺薄膜（PI薄膜），被誉为"黄金薄膜"，是柔性显示、集成电路、新能源电机、航空航天等高端领域的关键战略材料，技术壁垒高、进口替代空间大。公司采用双向拉伸工艺，产品性能达到国内领先水平。</w:t>
      </w:r>
    </w:p>
    <w:p>
      <w:pPr>
        <w:spacing w:lineRule="exact" w:line="600" w:before="120" w:after="120"/>
        <w:ind w:firstLine="420"/>
        <w:jc w:val="left"/>
      </w:pPr>
      <w:r>
        <w:rPr>
          <w:rFonts w:ascii="楷体_GB2312" w:hAnsi="楷体_GB2312" w:eastAsia="楷体_GB2312"/>
          <w:b w:val="0"/>
          <w:color w:val="000000"/>
          <w:sz w:val="32"/>
        </w:rPr>
        <w:t>（二）进口替代与应用拓展</w:t>
      </w:r>
    </w:p>
    <w:p>
      <w:pPr>
        <w:spacing w:lineRule="exact" w:line="600" w:before="0" w:after="0"/>
        <w:ind w:firstLine="420"/>
        <w:jc w:val="both"/>
      </w:pPr>
      <w:r>
        <w:rPr>
          <w:rFonts w:ascii="仿宋_GB2312" w:hAnsi="仿宋_GB2312" w:eastAsia="仿宋_GB2312"/>
          <w:b w:val="0"/>
          <w:color w:val="000000"/>
          <w:sz w:val="32"/>
        </w:rPr>
        <w:t>公司PI薄膜在机车（轨道交通）等领域实现进口替代，技术水平国内领先。依托山东中车体系协同，产品可面向新能源汽车、风电、高铁牵引电机等高端绝缘场景，市场前景广阔。</w:t>
      </w:r>
    </w:p>
    <w:p>
      <w:pPr>
        <w:spacing w:lineRule="exact" w:line="600" w:before="120" w:after="120"/>
        <w:ind w:firstLine="420"/>
        <w:jc w:val="left"/>
      </w:pPr>
      <w:r>
        <w:rPr>
          <w:rFonts w:ascii="楷体_GB2312" w:hAnsi="楷体_GB2312" w:eastAsia="楷体_GB2312"/>
          <w:b w:val="0"/>
          <w:color w:val="000000"/>
          <w:sz w:val="32"/>
        </w:rPr>
        <w:t>（三）产业协同</w:t>
      </w:r>
    </w:p>
    <w:p>
      <w:pPr>
        <w:spacing w:lineRule="exact" w:line="600" w:before="0" w:after="0"/>
        <w:ind w:firstLine="420"/>
        <w:jc w:val="both"/>
      </w:pPr>
      <w:r>
        <w:rPr>
          <w:rFonts w:ascii="仿宋_GB2312" w:hAnsi="仿宋_GB2312" w:eastAsia="仿宋_GB2312"/>
          <w:b w:val="0"/>
          <w:color w:val="000000"/>
          <w:sz w:val="32"/>
        </w:rPr>
        <w:t>作为东营经济技术开发区新材料产业链企业，公司与区域高端材料生态协同，享受东营未来产业服务集团资源赋能，有利于技术、资本与市场的综合提升。</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财务数据未公开披露。东营欣邦电子科技有限公司为非上市企业，未公开披露经审计的年度财务报告，其具体营业收入、资产负债、盈利及现金流数据无法从公开渠道获取，本节不予列示，严禁编造。建议在有合作意向时，通过尽职调查获取其经审计财务报表及银行流水进行专项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w:t>
      </w:r>
    </w:p>
    <w:p>
      <w:pPr>
        <w:spacing w:lineRule="exact" w:line="600" w:before="0" w:after="0"/>
        <w:ind w:firstLine="420"/>
        <w:jc w:val="both"/>
      </w:pPr>
      <w:r>
        <w:rPr>
          <w:rFonts w:ascii="仿宋_GB2312" w:hAnsi="仿宋_GB2312" w:eastAsia="仿宋_GB2312"/>
          <w:b w:val="0"/>
          <w:color w:val="000000"/>
          <w:sz w:val="32"/>
        </w:rPr>
        <w:t>公司设执行董事兼总经理（王树峰）、监事（王炳洋）及财务负责人（赵燕），治理架构符合有限责任公司规范。作为国有参控股背景企业，执行国有出资监管要求，经营管理相对规范。</w:t>
      </w:r>
    </w:p>
    <w:p>
      <w:pPr>
        <w:spacing w:lineRule="exact" w:line="600" w:before="120" w:after="120"/>
        <w:ind w:firstLine="420"/>
        <w:jc w:val="left"/>
      </w:pPr>
      <w:r>
        <w:rPr>
          <w:rFonts w:ascii="楷体_GB2312" w:hAnsi="楷体_GB2312" w:eastAsia="楷体_GB2312"/>
          <w:b w:val="0"/>
          <w:color w:val="000000"/>
          <w:sz w:val="32"/>
        </w:rPr>
        <w:t>（二）资质与人才</w:t>
      </w:r>
    </w:p>
    <w:p>
      <w:pPr>
        <w:spacing w:lineRule="exact" w:line="600" w:before="0" w:after="0"/>
        <w:ind w:firstLine="420"/>
        <w:jc w:val="both"/>
      </w:pPr>
      <w:r>
        <w:rPr>
          <w:rFonts w:ascii="仿宋_GB2312" w:hAnsi="仿宋_GB2312" w:eastAsia="仿宋_GB2312"/>
          <w:b w:val="0"/>
          <w:color w:val="000000"/>
          <w:sz w:val="32"/>
        </w:rPr>
        <w:t>公司获评高新技术企业、省级企业技术中心、省级专精特新企业、瞪羚企业、省级制造业单项冠军，2024年税务信用A级；在职员工约208人（2024年），研发与工艺团队支撑其高端薄膜制造能力。公司拥有数十项专利，技术储备持续增强。</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（一）进口替代战略价值</w:t>
      </w:r>
    </w:p>
    <w:p>
      <w:pPr>
        <w:spacing w:lineRule="exact" w:line="600" w:before="0" w:after="0"/>
        <w:ind w:firstLine="420"/>
        <w:jc w:val="both"/>
      </w:pPr>
      <w:r>
        <w:rPr>
          <w:rFonts w:ascii="仿宋_GB2312" w:hAnsi="仿宋_GB2312" w:eastAsia="仿宋_GB2312"/>
          <w:b w:val="0"/>
          <w:color w:val="000000"/>
          <w:sz w:val="32"/>
        </w:rPr>
        <w:t>聚酰亚胺薄膜属"卡脖子"关键新材料，公司实现双向拉伸PI薄膜国产化并在机车领域进口替代，战略价值突出，契合国家新材料自主可控方向。</w:t>
      </w:r>
    </w:p>
    <w:p>
      <w:pPr>
        <w:spacing w:lineRule="exact" w:line="600" w:before="120" w:after="120"/>
        <w:ind w:firstLine="420"/>
        <w:jc w:val="left"/>
      </w:pPr>
      <w:r>
        <w:rPr>
          <w:rFonts w:ascii="楷体_GB2312" w:hAnsi="楷体_GB2312" w:eastAsia="楷体_GB2312"/>
          <w:b w:val="0"/>
          <w:color w:val="000000"/>
          <w:sz w:val="32"/>
        </w:rPr>
        <w:t>（二）国资背书与产业协同</w:t>
      </w:r>
    </w:p>
    <w:p>
      <w:pPr>
        <w:spacing w:lineRule="exact" w:line="600" w:before="0" w:after="0"/>
        <w:ind w:firstLine="420"/>
        <w:jc w:val="both"/>
      </w:pPr>
      <w:r>
        <w:rPr>
          <w:rFonts w:ascii="仿宋_GB2312" w:hAnsi="仿宋_GB2312" w:eastAsia="仿宋_GB2312"/>
          <w:b w:val="0"/>
          <w:color w:val="000000"/>
          <w:sz w:val="32"/>
        </w:rPr>
        <w:t>东营经济技术开发区管委会为疑似实控人、属东营未来产业服务集团，国有背景赋予资源与信用优势；与中车体系协同，奠定高端应用场景基础。</w:t>
      </w:r>
    </w:p>
    <w:p>
      <w:pPr>
        <w:spacing w:lineRule="exact" w:line="600" w:before="120" w:after="120"/>
        <w:ind w:firstLine="420"/>
        <w:jc w:val="left"/>
      </w:pPr>
      <w:r>
        <w:rPr>
          <w:rFonts w:ascii="楷体_GB2312" w:hAnsi="楷体_GB2312" w:eastAsia="楷体_GB2312"/>
          <w:b w:val="0"/>
          <w:color w:val="000000"/>
          <w:sz w:val="32"/>
        </w:rPr>
        <w:t>（三）资质壁垒</w:t>
      </w:r>
    </w:p>
    <w:p>
      <w:pPr>
        <w:spacing w:lineRule="exact" w:line="600" w:before="0" w:after="0"/>
        <w:ind w:firstLine="420"/>
        <w:jc w:val="both"/>
      </w:pPr>
      <w:r>
        <w:rPr>
          <w:rFonts w:ascii="仿宋_GB2312" w:hAnsi="仿宋_GB2312" w:eastAsia="仿宋_GB2312"/>
          <w:b w:val="0"/>
          <w:color w:val="000000"/>
          <w:sz w:val="32"/>
        </w:rPr>
        <w:t>省级制造业单项冠军、专精特新小巨人、企业技术中心等多重资质构成政策与市场竞争壁垒。</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（一）技术与产能爬坡风险</w:t>
      </w:r>
    </w:p>
    <w:p>
      <w:pPr>
        <w:spacing w:lineRule="exact" w:line="600" w:before="0" w:after="0"/>
        <w:ind w:firstLine="420"/>
        <w:jc w:val="both"/>
      </w:pPr>
      <w:r>
        <w:rPr>
          <w:rFonts w:ascii="仿宋_GB2312" w:hAnsi="仿宋_GB2312" w:eastAsia="仿宋_GB2312"/>
          <w:b w:val="0"/>
          <w:color w:val="000000"/>
          <w:sz w:val="32"/>
        </w:rPr>
        <w:t>高端PI薄膜对工艺稳定性、良率要求极高，存在产能爬坡与一致性风险；国际巨头（杜邦、宇部兴产等）在高端市场仍占主导，竞争压力大。</w:t>
      </w:r>
    </w:p>
    <w:p>
      <w:pPr>
        <w:spacing w:lineRule="exact" w:line="600" w:before="120" w:after="120"/>
        <w:ind w:firstLine="420"/>
        <w:jc w:val="left"/>
      </w:pPr>
      <w:r>
        <w:rPr>
          <w:rFonts w:ascii="楷体_GB2312" w:hAnsi="楷体_GB2312" w:eastAsia="楷体_GB2312"/>
          <w:b w:val="0"/>
          <w:color w:val="000000"/>
          <w:sz w:val="32"/>
        </w:rPr>
        <w:t>（二）财务不透明风险</w:t>
      </w:r>
    </w:p>
    <w:p>
      <w:pPr>
        <w:spacing w:lineRule="exact" w:line="600" w:before="0" w:after="0"/>
        <w:ind w:firstLine="420"/>
        <w:jc w:val="both"/>
      </w:pPr>
      <w:r>
        <w:rPr>
          <w:rFonts w:ascii="仿宋_GB2312" w:hAnsi="仿宋_GB2312" w:eastAsia="仿宋_GB2312"/>
          <w:b w:val="0"/>
          <w:color w:val="000000"/>
          <w:sz w:val="32"/>
        </w:rPr>
        <w:t>公司未公开财务数据，外部投资者难以准确评估其真实盈利与负债状况，需以尽职调查弥补信息不对称。</w:t>
      </w:r>
    </w:p>
    <w:p>
      <w:pPr>
        <w:spacing w:lineRule="exact" w:line="600" w:before="120" w:after="120"/>
        <w:ind w:firstLine="420"/>
        <w:jc w:val="left"/>
      </w:pPr>
      <w:r>
        <w:rPr>
          <w:rFonts w:ascii="楷体_GB2312" w:hAnsi="楷体_GB2312" w:eastAsia="楷体_GB2312"/>
          <w:b w:val="0"/>
          <w:color w:val="000000"/>
          <w:sz w:val="32"/>
        </w:rPr>
        <w:t>（三）单一客户依赖风险</w:t>
      </w:r>
    </w:p>
    <w:p>
      <w:pPr>
        <w:spacing w:lineRule="exact" w:line="600" w:before="0" w:after="0"/>
        <w:ind w:firstLine="420"/>
        <w:jc w:val="both"/>
      </w:pPr>
      <w:r>
        <w:rPr>
          <w:rFonts w:ascii="仿宋_GB2312" w:hAnsi="仿宋_GB2312" w:eastAsia="仿宋_GB2312"/>
          <w:b w:val="0"/>
          <w:color w:val="000000"/>
          <w:sz w:val="32"/>
        </w:rPr>
        <w:t>若业务高度依赖中车体系或少数高端客户，需关注客户集中度与订单持续性。</w:t>
      </w:r>
    </w:p>
    <w:p>
      <w:pPr>
        <w:spacing w:lineRule="exact" w:line="600" w:before="120" w:after="120"/>
        <w:ind w:firstLine="420"/>
        <w:jc w:val="left"/>
      </w:pPr>
      <w:r>
        <w:rPr>
          <w:rFonts w:ascii="黑体" w:hAnsi="黑体" w:eastAsia="黑体"/>
          <w:b w:val="0"/>
          <w:color w:val="000000"/>
          <w:sz w:val="32"/>
        </w:rPr>
        <w:t>七、融资需求（与山东省投资集团协同）</w:t>
      </w:r>
    </w:p>
    <w:p>
      <w:pPr>
        <w:spacing w:lineRule="exact" w:line="600" w:before="120" w:after="120"/>
        <w:ind w:firstLine="420"/>
        <w:jc w:val="left"/>
      </w:pPr>
      <w:r>
        <w:rPr>
          <w:rFonts w:ascii="楷体_GB2312" w:hAnsi="楷体_GB2312" w:eastAsia="楷体_GB2312"/>
          <w:b w:val="0"/>
          <w:color w:val="000000"/>
          <w:sz w:val="32"/>
        </w:rPr>
        <w:t>（一）潜在协同方向</w:t>
      </w:r>
    </w:p>
    <w:p>
      <w:pPr>
        <w:spacing w:lineRule="exact" w:line="600" w:before="0" w:after="0"/>
        <w:ind w:firstLine="420"/>
        <w:jc w:val="both"/>
      </w:pPr>
      <w:r>
        <w:rPr>
          <w:rFonts w:ascii="仿宋_GB2312" w:hAnsi="仿宋_GB2312" w:eastAsia="仿宋_GB2312"/>
          <w:b w:val="0"/>
          <w:color w:val="000000"/>
          <w:sz w:val="32"/>
        </w:rPr>
        <w:t>作为具备国资背景的新材料"单项冠军"潜力企业，欣邦电子在产能扩建、设备购置（双向拉伸产线投资强度大）方面存在资本开支需求，可探索：一是股权融资/产业基金入股，支持PI薄膜产线扩能与高端牌号研发；二是融资租赁，以设备直租方式缓解资本开支压力；三是供应链金融，对上游原材料（PI树脂等）采购提供流动性支持。</w:t>
      </w:r>
    </w:p>
    <w:p>
      <w:pPr>
        <w:spacing w:lineRule="exact" w:line="600" w:before="120" w:after="120"/>
        <w:ind w:firstLine="420"/>
        <w:jc w:val="left"/>
      </w:pPr>
      <w:r>
        <w:rPr>
          <w:rFonts w:ascii="楷体_GB2312" w:hAnsi="楷体_GB2312" w:eastAsia="楷体_GB2312"/>
          <w:b w:val="0"/>
          <w:color w:val="000000"/>
          <w:sz w:val="32"/>
        </w:rPr>
        <w:t>（二）协同建议</w:t>
      </w:r>
    </w:p>
    <w:p>
      <w:pPr>
        <w:spacing w:lineRule="exact" w:line="600" w:before="0" w:after="0"/>
        <w:ind w:firstLine="420"/>
        <w:jc w:val="both"/>
      </w:pPr>
      <w:r>
        <w:rPr>
          <w:rFonts w:ascii="仿宋_GB2312" w:hAnsi="仿宋_GB2312" w:eastAsia="仿宋_GB2312"/>
          <w:b w:val="0"/>
          <w:color w:val="000000"/>
          <w:sz w:val="32"/>
        </w:rPr>
        <w:t>建议山东省投资集团联合东营经开区国资平台，以"股权+金融工具"组合介入：通过产业基金参股支持其进口替代产能建设，并用融资租赁、保理等工具匹配其重资产扩张节奏，既服务区域新材料"强链补链"，又获取稳健投资收益。</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东营欣邦电子科技是东营新型功能材料集群中具备进口替代战略价值的PI薄膜"单项冠军"培育企业，国资背景与中车协同优势明显。鉴于其财务未公开，建议先期以产业基金意向+融资租赁工具建立联系，在签署保密协议后开展尽职调查，重点核实产能、良率、真实盈利与客户结构，再行决策投资深度。整体看，其"黄金薄膜"国产替代逻辑清晰，是山东省投资集团布局高端新材料值得跟踪的标的。</w:t>
      </w:r>
    </w:p>
    <w:p>
      <w:pPr>
        <w:spacing w:lineRule="exact" w:line="600" w:before="0" w:after="0"/>
        <w:jc w:val="left"/>
      </w:pPr>
      <w:r>
        <w:rPr>
          <w:rFonts w:ascii="仿宋_GB2312" w:hAnsi="仿宋_GB2312" w:eastAsia="仿宋_GB2312"/>
          <w:b w:val="0"/>
          <w:color w:val="000000"/>
          <w:sz w:val="28"/>
        </w:rPr>
        <w:t>数据来源说明：本报告工商与股权信息来源于天眼查、水滴信用、启信宝、企查查等公开企业信用平台；资质与业务信息来源于企业公开报道及东营经济技术开发区官方发布。财务数据因公司非上市未公开披露，未作任何编造，以"财务数据未公开披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