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东营市垦利区新能源全生态特色产业集群</w:t>
      </w:r>
    </w:p>
    <w:p>
      <w:pPr>
        <w:spacing w:lineRule="exact" w:line="600" w:before="240" w:after="240"/>
        <w:ind w:firstLine="0"/>
        <w:jc w:val="center"/>
      </w:pPr>
      <w:r>
        <w:rPr>
          <w:rFonts w:ascii="方正小标宋简体" w:hAnsi="方正小标宋简体" w:eastAsia="方正小标宋简体"/>
          <w:b w:val="0"/>
          <w:color w:val="000000"/>
          <w:sz w:val="44"/>
        </w:rPr>
        <w:t>东营时代储能科技有限公司(宁德时代零碳产业园)企业分析报告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营时代储能科技有限公司成立于2024年6月27日，法定代表人郭孟超，统一社会信用代码91370521MADQHCHE2W，企业类型为有限责任公司（国有控股），注册资本6,000万元，注册地址位于山东省东营市垦利区兴隆街道广兴路277号创业大厦1113房间，登记机关为垦利区市场监督管理局，经营状态为存续（营业期限至2034年6月26日）。经营范围含工程和技术研究、储能技术服务、机械电气设备制造销售、电池零配件生产销售、电池制造销售、蓄电池租赁、再生资源回收、检验检测服务等。</w:t>
      </w:r>
    </w:p>
    <w:p>
      <w:pPr>
        <w:spacing w:lineRule="exact" w:line="600" w:before="0" w:after="0"/>
        <w:ind w:firstLine="420"/>
        <w:jc w:val="both"/>
      </w:pPr>
      <w:r>
        <w:rPr>
          <w:rFonts w:ascii="仿宋_GB2312" w:hAnsi="仿宋_GB2312" w:eastAsia="仿宋_GB2312"/>
          <w:b w:val="0"/>
          <w:color w:val="000000"/>
          <w:sz w:val="32"/>
        </w:rPr>
        <w:t>股权结构：东营能源集团有限公司持股60%（穿透受东营市财金投资集团有限公司、东营市财政局控制，为市属国有），宁德时代新能源科技股份有限公司持股40%。属国有控股混合所有制企业，国资股东为东营市属国企，宁德时代为民营锂电龙头；公司由东营能源集团与宁德时代共同出资设立，是东营零碳产业园的核心运营与项目主体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贾志民）、法定代表人/总经理（郭孟超，据天眼查；公开报道曾提总经理甘生元），经营管理层由东营能源集团与宁德时代委派。作为国有控股混合所有制企业，治理兼顾国资合规与宁德时代市场化运营；承担宁德时代生态储能Pack项目及零碳产业园相关建设与运营职能。</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2024年1月，东营能源集团与宁德时代签署战略合作协议，在储能锂电池PACK组装及系统集成、交通工具电动化等方面达成合作。2024年6月27日双方共同出资6,000万元设立东营时代储能科技有限公司，投资建设宁德时代生态储能Pack项目（2GWh生态储能Pack生产线），落户垦利经济开发区新能源产业园，落户仅3个月完成手续审批并开工，厂房主体施工完成、预计2024年6月投产（注：推进节奏见进展节）。2025年3月，东营市政府与宁德时代签共建零碳城市战略协议，垦利区签锂电池绿色智造基地投资协议；7月26日全国首个100%绿电直供零碳产业园开建，一期40GWh锂电池绿色智造项目启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宁德时代全球首个高比例绿电直供零碳产业园的核心项目主体、东营市新能源全生态产业集群的支柱企业。主营业务为储能技术服务，电池零配件生产销售，机械电气设备制造销售，电池制造销售，蓄电池租赁，再生资源回收，检验检测服务等；具体承担2GWh生态储能Pack产线及40GWh锂电池绿色智造基地（宁德时代主导投资）的配套与运营协同。</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储能电池Pack制造与系统集成、锂电池绿色智造基地配套为核心。现阶段2GWh生态储能Pack项目处于建设/投产期；40GWh电芯基地由宁德时代主导投资（东营时代零碳新能源科技有限公司为宁德时代全资项目公司）。公司收入尚处起步阶段，未公开披露分产品构成。</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业务：生态储能Pack（2GWh产线，储能装置研发生产销售）、锂电池绿色智造基地（一期40GWh电芯，由宁德时代投资）、蓄电池租赁、电池零配件、再生资源回收（电池回收闭环）、储能技术服务等。产业园采用“源网荷储”绿电直供，配套光伏、风电与智能微电网、碳管理平台。</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作为宁德时代生态企业，产品主要面向宁德时代体系及储能系统集成客户；储能Pack可服务新能源电站、工商业储能等场景。依托宁德时代全球客户网络，下游需求确定性强。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生产所需主要为电芯（来自宁德时代体系）、电气件、结构件、储能变流器等；绿电直供模式下能源成本可控，原料受锂电产业链行情影响。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生态储能Pack项目：2GWh产线，落户垦利经济开发区新能源产业园。锂电池绿色智造基地：一期40GWh，2025年5月环评获批（投资55亿元、占地53.19万平方米），预计2026年建成投用；全面达产后年产值260亿元、税收12亿元、带动就业2,400人，5年内形成千亿级绿色锂电全产业链。零碳产业园：全国首个100%绿电直供，风光耦合+构网型技术，全年8,000小时稳定供电，区块链绿电溯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依托宁德时代品牌与全球销售网络，以体系内协同与战略客户直供为主；储能Pack面向新能源与工商业储能市场。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新设企业（2024年6月成立），处建设投产期，尚未形成规模化收入，无公开营收、利润及市占率数据。关联零碳产业园一期40GWh电芯基地全面达产后预计年产值260亿元。注：公司近三年（实为设立首年）财务数据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东营时代储能科技有限公司成立于2024年6月，为国有控股混合所有制新设企业，尚处建设投产期，近三年财务报表未公开披露；以下列公开工商与项目信息，不作财务数据编造。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721"/>
          </w:tcPr>
          <w:p>
            <w:pPr>
              <w:spacing w:lineRule="exact" w:line="600"/>
              <w:jc w:val="center"/>
            </w:pPr>
            <w:r/>
            <w:r>
              <w:rPr>
                <w:rFonts w:ascii="黑体" w:hAnsi="黑体" w:eastAsia="黑体"/>
                <w:b/>
                <w:color w:val="000000"/>
                <w:sz w:val="32"/>
              </w:rPr>
              <w:t>指标</w:t>
            </w:r>
          </w:p>
        </w:tc>
        <w:tc>
          <w:tcPr>
            <w:tcW w:type="dxa" w:w="6066"/>
          </w:tcPr>
          <w:p>
            <w:pPr>
              <w:spacing w:lineRule="exact" w:line="600"/>
              <w:jc w:val="center"/>
            </w:pPr>
            <w:r/>
            <w:r>
              <w:rPr>
                <w:rFonts w:ascii="黑体" w:hAnsi="黑体" w:eastAsia="黑体"/>
                <w:b/>
                <w:color w:val="000000"/>
                <w:sz w:val="32"/>
              </w:rPr>
              <w:t>公开披露值</w:t>
            </w:r>
          </w:p>
        </w:tc>
      </w:tr>
      <w:tr>
        <w:tc>
          <w:tcPr>
            <w:tcW w:type="dxa" w:w="2721"/>
          </w:tcPr>
          <w:p>
            <w:pPr>
              <w:spacing w:lineRule="exact" w:line="600"/>
              <w:jc w:val="center"/>
            </w:pPr>
            <w:r/>
            <w:r>
              <w:rPr>
                <w:rFonts w:ascii="仿宋_GB2312" w:hAnsi="仿宋_GB2312" w:eastAsia="仿宋_GB2312"/>
                <w:b w:val="0"/>
                <w:color w:val="000000"/>
                <w:sz w:val="32"/>
              </w:rPr>
              <w:t>注册资本</w:t>
            </w:r>
          </w:p>
        </w:tc>
        <w:tc>
          <w:tcPr>
            <w:tcW w:type="dxa" w:w="6066"/>
          </w:tcPr>
          <w:p>
            <w:pPr>
              <w:spacing w:lineRule="exact" w:line="600"/>
              <w:jc w:val="center"/>
            </w:pPr>
            <w:r/>
            <w:r>
              <w:rPr>
                <w:rFonts w:ascii="仿宋_GB2312" w:hAnsi="仿宋_GB2312" w:eastAsia="仿宋_GB2312"/>
                <w:b w:val="0"/>
                <w:color w:val="000000"/>
                <w:sz w:val="32"/>
              </w:rPr>
              <w:t>6,000万元</w:t>
            </w:r>
          </w:p>
        </w:tc>
      </w:tr>
      <w:tr>
        <w:tc>
          <w:tcPr>
            <w:tcW w:type="dxa" w:w="2721"/>
          </w:tcPr>
          <w:p>
            <w:pPr>
              <w:spacing w:lineRule="exact" w:line="600"/>
              <w:jc w:val="center"/>
            </w:pPr>
            <w:r/>
            <w:r>
              <w:rPr>
                <w:rFonts w:ascii="仿宋_GB2312" w:hAnsi="仿宋_GB2312" w:eastAsia="仿宋_GB2312"/>
                <w:b w:val="0"/>
                <w:color w:val="000000"/>
                <w:sz w:val="32"/>
              </w:rPr>
              <w:t>成立时间</w:t>
            </w:r>
          </w:p>
        </w:tc>
        <w:tc>
          <w:tcPr>
            <w:tcW w:type="dxa" w:w="6066"/>
          </w:tcPr>
          <w:p>
            <w:pPr>
              <w:spacing w:lineRule="exact" w:line="600"/>
              <w:jc w:val="center"/>
            </w:pPr>
            <w:r/>
            <w:r>
              <w:rPr>
                <w:rFonts w:ascii="仿宋_GB2312" w:hAnsi="仿宋_GB2312" w:eastAsia="仿宋_GB2312"/>
                <w:b w:val="0"/>
                <w:color w:val="000000"/>
                <w:sz w:val="32"/>
              </w:rPr>
              <w:t>2024-06-27</w:t>
            </w:r>
          </w:p>
        </w:tc>
      </w:tr>
      <w:tr>
        <w:tc>
          <w:tcPr>
            <w:tcW w:type="dxa" w:w="2721"/>
          </w:tcPr>
          <w:p>
            <w:pPr>
              <w:spacing w:lineRule="exact" w:line="600"/>
              <w:jc w:val="center"/>
            </w:pPr>
            <w:r/>
            <w:r>
              <w:rPr>
                <w:rFonts w:ascii="仿宋_GB2312" w:hAnsi="仿宋_GB2312" w:eastAsia="仿宋_GB2312"/>
                <w:b w:val="0"/>
                <w:color w:val="000000"/>
                <w:sz w:val="32"/>
              </w:rPr>
              <w:t>企业类型</w:t>
            </w:r>
          </w:p>
        </w:tc>
        <w:tc>
          <w:tcPr>
            <w:tcW w:type="dxa" w:w="6066"/>
          </w:tcPr>
          <w:p>
            <w:pPr>
              <w:spacing w:lineRule="exact" w:line="600"/>
              <w:jc w:val="center"/>
            </w:pPr>
            <w:r/>
            <w:r>
              <w:rPr>
                <w:rFonts w:ascii="仿宋_GB2312" w:hAnsi="仿宋_GB2312" w:eastAsia="仿宋_GB2312"/>
                <w:b w:val="0"/>
                <w:color w:val="000000"/>
                <w:sz w:val="32"/>
              </w:rPr>
              <w:t>有限责任公司（国有控股）</w:t>
            </w:r>
          </w:p>
        </w:tc>
      </w:tr>
      <w:tr>
        <w:tc>
          <w:tcPr>
            <w:tcW w:type="dxa" w:w="2721"/>
          </w:tcPr>
          <w:p>
            <w:pPr>
              <w:spacing w:lineRule="exact" w:line="600"/>
              <w:jc w:val="center"/>
            </w:pPr>
            <w:r/>
            <w:r>
              <w:rPr>
                <w:rFonts w:ascii="仿宋_GB2312" w:hAnsi="仿宋_GB2312" w:eastAsia="仿宋_GB2312"/>
                <w:b w:val="0"/>
                <w:color w:val="000000"/>
                <w:sz w:val="32"/>
              </w:rPr>
              <w:t>国有股东</w:t>
            </w:r>
          </w:p>
        </w:tc>
        <w:tc>
          <w:tcPr>
            <w:tcW w:type="dxa" w:w="6066"/>
          </w:tcPr>
          <w:p>
            <w:pPr>
              <w:spacing w:lineRule="exact" w:line="600"/>
              <w:jc w:val="center"/>
            </w:pPr>
            <w:r/>
            <w:r>
              <w:rPr>
                <w:rFonts w:ascii="仿宋_GB2312" w:hAnsi="仿宋_GB2312" w:eastAsia="仿宋_GB2312"/>
                <w:b w:val="0"/>
                <w:color w:val="000000"/>
                <w:sz w:val="32"/>
              </w:rPr>
              <w:t>东营能源集团（60%，东营市财政局实控）</w:t>
            </w:r>
          </w:p>
        </w:tc>
      </w:tr>
      <w:tr>
        <w:tc>
          <w:tcPr>
            <w:tcW w:type="dxa" w:w="2721"/>
          </w:tcPr>
          <w:p>
            <w:pPr>
              <w:spacing w:lineRule="exact" w:line="600"/>
              <w:jc w:val="center"/>
            </w:pPr>
            <w:r/>
            <w:r>
              <w:rPr>
                <w:rFonts w:ascii="仿宋_GB2312" w:hAnsi="仿宋_GB2312" w:eastAsia="仿宋_GB2312"/>
                <w:b w:val="0"/>
                <w:color w:val="000000"/>
                <w:sz w:val="32"/>
              </w:rPr>
              <w:t>民营股东</w:t>
            </w:r>
          </w:p>
        </w:tc>
        <w:tc>
          <w:tcPr>
            <w:tcW w:type="dxa" w:w="6066"/>
          </w:tcPr>
          <w:p>
            <w:pPr>
              <w:spacing w:lineRule="exact" w:line="600"/>
              <w:jc w:val="center"/>
            </w:pPr>
            <w:r/>
            <w:r>
              <w:rPr>
                <w:rFonts w:ascii="仿宋_GB2312" w:hAnsi="仿宋_GB2312" w:eastAsia="仿宋_GB2312"/>
                <w:b w:val="0"/>
                <w:color w:val="000000"/>
                <w:sz w:val="32"/>
              </w:rPr>
              <w:t>宁德时代（40%）</w:t>
            </w:r>
          </w:p>
        </w:tc>
      </w:tr>
      <w:tr>
        <w:tc>
          <w:tcPr>
            <w:tcW w:type="dxa" w:w="2721"/>
          </w:tcPr>
          <w:p>
            <w:pPr>
              <w:spacing w:lineRule="exact" w:line="600"/>
              <w:jc w:val="center"/>
            </w:pPr>
            <w:r/>
            <w:r>
              <w:rPr>
                <w:rFonts w:ascii="仿宋_GB2312" w:hAnsi="仿宋_GB2312" w:eastAsia="仿宋_GB2312"/>
                <w:b w:val="0"/>
                <w:color w:val="000000"/>
                <w:sz w:val="32"/>
              </w:rPr>
              <w:t>生态储能Pack</w:t>
            </w:r>
          </w:p>
        </w:tc>
        <w:tc>
          <w:tcPr>
            <w:tcW w:type="dxa" w:w="6066"/>
          </w:tcPr>
          <w:p>
            <w:pPr>
              <w:spacing w:lineRule="exact" w:line="600"/>
              <w:jc w:val="center"/>
            </w:pPr>
            <w:r/>
            <w:r>
              <w:rPr>
                <w:rFonts w:ascii="仿宋_GB2312" w:hAnsi="仿宋_GB2312" w:eastAsia="仿宋_GB2312"/>
                <w:b w:val="0"/>
                <w:color w:val="000000"/>
                <w:sz w:val="32"/>
              </w:rPr>
              <w:t>2GWh产线</w:t>
            </w:r>
          </w:p>
        </w:tc>
      </w:tr>
      <w:tr>
        <w:tc>
          <w:tcPr>
            <w:tcW w:type="dxa" w:w="2721"/>
          </w:tcPr>
          <w:p>
            <w:pPr>
              <w:spacing w:lineRule="exact" w:line="600"/>
              <w:jc w:val="center"/>
            </w:pPr>
            <w:r/>
            <w:r>
              <w:rPr>
                <w:rFonts w:ascii="仿宋_GB2312" w:hAnsi="仿宋_GB2312" w:eastAsia="仿宋_GB2312"/>
                <w:b w:val="0"/>
                <w:color w:val="000000"/>
                <w:sz w:val="32"/>
              </w:rPr>
              <w:t>关联40GWh电芯基地</w:t>
            </w:r>
          </w:p>
        </w:tc>
        <w:tc>
          <w:tcPr>
            <w:tcW w:type="dxa" w:w="6066"/>
          </w:tcPr>
          <w:p>
            <w:pPr>
              <w:spacing w:lineRule="exact" w:line="600"/>
              <w:jc w:val="center"/>
            </w:pPr>
            <w:r/>
            <w:r>
              <w:rPr>
                <w:rFonts w:ascii="仿宋_GB2312" w:hAnsi="仿宋_GB2312" w:eastAsia="仿宋_GB2312"/>
                <w:b w:val="0"/>
                <w:color w:val="000000"/>
                <w:sz w:val="32"/>
              </w:rPr>
              <w:t>一期，投资55亿元，预计2026年投产</w:t>
            </w:r>
          </w:p>
        </w:tc>
      </w:tr>
      <w:tr>
        <w:tc>
          <w:tcPr>
            <w:tcW w:type="dxa" w:w="2721"/>
          </w:tcPr>
          <w:p>
            <w:pPr>
              <w:spacing w:lineRule="exact" w:line="600"/>
              <w:jc w:val="center"/>
            </w:pPr>
            <w:r/>
            <w:r>
              <w:rPr>
                <w:rFonts w:ascii="仿宋_GB2312" w:hAnsi="仿宋_GB2312" w:eastAsia="仿宋_GB2312"/>
                <w:b w:val="0"/>
                <w:color w:val="000000"/>
                <w:sz w:val="32"/>
              </w:rPr>
              <w:t>营收/利润</w:t>
            </w:r>
          </w:p>
        </w:tc>
        <w:tc>
          <w:tcPr>
            <w:tcW w:type="dxa" w:w="6066"/>
          </w:tcPr>
          <w:p>
            <w:pPr>
              <w:spacing w:lineRule="exact" w:line="600"/>
              <w:jc w:val="center"/>
            </w:pPr>
            <w:r/>
            <w:r>
              <w:rPr>
                <w:rFonts w:ascii="仿宋_GB2312" w:hAnsi="仿宋_GB2312" w:eastAsia="仿宋_GB2312"/>
                <w:b w:val="0"/>
                <w:color w:val="000000"/>
                <w:sz w:val="32"/>
              </w:rPr>
              <w:t>未公开披露（建设期）</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财务数据未公开披露。公司处建设投产初期，2GWh Pack产线尚未完全放量，盈利尚未释放；依托宁德时代技术与品牌，达产后具备较好盈利前景，但需关注锂电价格与产能消化。</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无公开资产数据。作为重资产制造项目，固定资产（产线、厂房）为主；国有+宁德时代出资保障资本实力。</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无公开负债数据。国有控股背景与宁德时代背书利于融资；40GWh基地巨额投资预计依赖项目贷款与股东出资，需关注杠杆。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无公开现金流数据。建设期资本开支大、经营现金流转正需待产能释放，关注项目现金流与融资到位。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胜华新材（同集群溶剂龙头、已盈利但承压）相比，东营时代储能处建设期、尚未盈利，但背靠宁德时代与东营国资，产能规划（40GWh）与绿电零碳模式具备差异化稀缺性；与国内其他零碳/绿电产业园相比，其“100%绿电直供+区块链溯源”属全国首个示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混合所有制，设董事长（贾志民）、总经理/法定代表人（郭孟超），国资股东（东营能源集团）履行出资人职责，须落实“三重一大”与国资监管；宁德时代委派管理人员参与运营，治理兼顾合规与市场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董事长贾志民；法定代表人、总经理郭孟超（天眼查登记）；公开报道曾提总经理甘生元。管理团队由东营国资与宁德时代双方委派，具备能源国企与锂电龙头企业背景。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作为国有控股企业，须建立国资合规与安全生产内控体系；依托宁德时代成熟制造管理体系（灯塔工厂标准），质量与安全内控较完备。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公司为新设，人员规模未公开；40GWh基地全面达产预计带动就业2,400人，将依托宁德时代人才体系与本地招引（东营市已专项部署招工与人才保障）构建团队。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股东与资源壁垒：国有控股（东营国资）+宁德时代（全球动力电池/储能龙头）双重背书，资本、政策与技术上具备不可复制优势。二是绿电零碳稀缺性：全国首个100%绿电直供零碳产业园，风光耦合+构网型技术、全年8,000小时稳定供电、区块链绿电溯源，契合出口与ESG要求，形成模式壁垒。三是产能与产业链壁垒：一期40GWh电芯+2GWh Pack，达产年产值260亿，5年千亿级全产业链，与胜华新材等本地供应商协同形成集群。四是技术与品牌：宁德时代电芯技术与全球客户网络，产品竞争力强。五是政策与区位：垦利绿电占比超80%、东营政府全力支持，营商环境优。</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建设与技术爬坡风险：40GWh基地2026年投产，存在工期、良率与产能消化不确定性。二是行业与价格风险：锂电行业产能过剩、价格低迷（参考胜华新材盈利承压），影响项目收益；应对为绿电降本与高端定位。三是客户与依赖风险：高度依赖宁德时代体系，独立性有限；应对为拓展多元客户。四是债务与现金流风险：巨额投资致杠杆与现金流压力；应对为多元化融资与分期建设。五是国资与治理风险：国有控股需兼顾合规与效率。六是安全环保风险：电池制造涉及安全环保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保理业务：对宁德时代体系及储能系统集成客户的应收账款可开展保理。供应链金融：围绕核心企业为其上游设备、材料供应商提供订单与存货融资，绑定绿电产业园链条。融资租赁：2GWh Pack及40GWh基地设备投资巨大，适合设备直租/回租，山东投资可重点对接。小贷：面向中小配套供应商短期周转。鉴于企业国有控股+宁德时代背书、项目稀缺，是重点战略客户，建议以“项目设备融资租赁+供应链金融”为主切入，关注建设进度、债务率与产能消化，并以增信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综合评价：东营时代储能是东营垦利新能源全生态集群的支柱项目，国有控股+宁德时代双重背书，承载全国首个100%绿电直供零碳产业园（40GWh电芯+2GWh Pack），模式稀缺、政策与产业链协同突出；但为新设建设期企业、尚未盈利、巨额投资致债务与现金流压力、依赖宁德时代。发展展望：据行业趋势与政策导向，绿电零碳制造与储能需求增长，一期40GWh达产年产值260亿、5年千亿级产业链，将显著改变东营产业结构。建议：一是对接基地设备融资租赁与供应链金融；二是授信前评估项目资本金、债务率与产能消化；三是关注建设进度、锂电价格与回款风险，设置动态监测与增信。</w:t>
      </w:r>
    </w:p>
    <w:p>
      <w:pPr>
        <w:spacing w:lineRule="exact" w:line="600" w:before="0" w:after="0"/>
        <w:jc w:val="left"/>
      </w:pPr>
      <w:r>
        <w:rPr>
          <w:rFonts w:ascii="仿宋_GB2312" w:hAnsi="仿宋_GB2312" w:eastAsia="仿宋_GB2312"/>
          <w:b w:val="0"/>
          <w:color w:val="000000"/>
          <w:sz w:val="28"/>
        </w:rPr>
        <w:t>数据来源说明：天眼查/爱企查/企查查（工商、股权、注册资本、法定代表人）、证券时报/中国能源报（设立与股东）、东营市政府/垦利区政府官网（零碳产业园签约、40GWh项目、绿电占比）、新浪财经/我的电池网/大众新闻（全国首个绿电零碳园、环评55亿、年产值260亿）、储能中国网（董事与国资穿透）。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