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东营市垦利区高性能特种新材料产业集群</w:t>
      </w:r>
    </w:p>
    <w:p>
      <w:pPr>
        <w:spacing w:lineRule="exact" w:line="600" w:before="240" w:after="240"/>
        <w:ind w:firstLine="0"/>
        <w:jc w:val="center"/>
      </w:pPr>
      <w:r>
        <w:rPr>
          <w:rFonts w:ascii="方正小标宋简体" w:hAnsi="方正小标宋简体" w:eastAsia="方正小标宋简体"/>
          <w:b w:val="0"/>
          <w:color w:val="000000"/>
          <w:sz w:val="44"/>
        </w:rPr>
        <w:t>胜华新材料集团股份有限公司企业分析报告</w:t>
      </w:r>
    </w:p>
    <w:p>
      <w:pPr>
        <w:spacing w:lineRule="exact" w:line="600" w:before="0" w:after="0"/>
        <w:jc w:val="left"/>
      </w:pPr>
      <w:r>
        <w:rPr>
          <w:rFonts w:ascii="仿宋_GB2312" w:hAnsi="仿宋_GB2312" w:eastAsia="仿宋_GB2312"/>
          <w:b w:val="0"/>
          <w:color w:val="000000"/>
          <w:sz w:val="28"/>
        </w:rPr>
        <w:t>（本报告依据胜华新材料集团股份有限公司公开披露的年报、公告及权威媒体报道信息编制，涉及未公开披露事项均如实标注，用于产业集群代表企业分析参考。）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胜华新材料集团股份有限公司</w:t>
            </w:r>
          </w:p>
        </w:tc>
      </w:tr>
      <w:tr>
        <w:tc>
          <w:tcPr>
            <w:tcW w:type="dxa" w:w="2381"/>
          </w:tcPr>
          <w:p>
            <w:pPr>
              <w:spacing w:lineRule="exact" w:line="600"/>
              <w:jc w:val="center"/>
            </w:pPr>
            <w:r/>
            <w:r>
              <w:rPr>
                <w:rFonts w:ascii="仿宋_GB2312" w:hAnsi="仿宋_GB2312" w:eastAsia="仿宋_GB2312"/>
                <w:b w:val="0"/>
                <w:color w:val="000000"/>
                <w:sz w:val="32"/>
              </w:rPr>
              <w:t>证券简称及代码</w:t>
            </w:r>
          </w:p>
        </w:tc>
        <w:tc>
          <w:tcPr>
            <w:tcW w:type="dxa" w:w="6463"/>
          </w:tcPr>
          <w:p>
            <w:pPr>
              <w:spacing w:lineRule="exact" w:line="600"/>
              <w:jc w:val="center"/>
            </w:pPr>
            <w:r/>
            <w:r>
              <w:rPr>
                <w:rFonts w:ascii="仿宋_GB2312" w:hAnsi="仿宋_GB2312" w:eastAsia="仿宋_GB2312"/>
                <w:b w:val="0"/>
                <w:color w:val="000000"/>
                <w:sz w:val="32"/>
              </w:rPr>
              <w:t>胜华新材（603026.SH，原名石大胜华）</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东营市垦利区同兴路198号</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东营市垦利区高性能特种新材料产业集群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锂电池电解液、溶剂、溶质、添加剂全产业链</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碳酸酯溶剂、电解液、六氟磷酸锂及添加剂</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胜华新材料集团股份有限公司（证券简称：胜华新材，代码：603026.SH，原名石大胜华）位于东营市垦利区同兴路198号，是全球最大的锂电池电解液溶剂供应商，碳酸酯溶剂全球占有率超过40%，深耕DMC溶剂市场二十余年。公司为国有控股上市公司，实际控制人为青岛西海岸新区国有资产监督管理机构，是东营垦利高性能特种新材料集群的链主企业。</w:t>
      </w:r>
    </w:p>
    <w:p>
      <w:pPr>
        <w:spacing w:lineRule="exact" w:line="600" w:before="0" w:after="0"/>
        <w:ind w:firstLine="420"/>
        <w:jc w:val="both"/>
      </w:pPr>
      <w:r>
        <w:rPr>
          <w:rFonts w:ascii="仿宋_GB2312" w:hAnsi="仿宋_GB2312" w:eastAsia="仿宋_GB2312"/>
          <w:b w:val="0"/>
          <w:color w:val="000000"/>
          <w:sz w:val="32"/>
        </w:rPr>
        <w:t>在工商登记信息方面，公司成立时间、法定代表人、统一社会信用代码等基础事项以国家企业信用信息公示系统及公开披露信息为准。作为上市公司，其登记与披露信息相对完备，实际开展业务时应以企业提供的营业执照原件、公司章程、股东名册及近三年定期报告为核验依据。</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披露，胜华新材为国有控股的上市公司，实际控制人为青岛西海岸新区国有资产监督管理机构，重大投资、对外担保、关联交易等事项须遵循上市公司治理规范与国资监管相关要求，治理与内控相对规范、信息可得性较好。</w:t>
      </w:r>
    </w:p>
    <w:p>
      <w:pPr>
        <w:spacing w:lineRule="exact" w:line="600" w:before="0" w:after="0"/>
        <w:ind w:firstLine="420"/>
        <w:jc w:val="both"/>
      </w:pPr>
      <w:r>
        <w:rPr>
          <w:rFonts w:ascii="仿宋_GB2312" w:hAnsi="仿宋_GB2312" w:eastAsia="仿宋_GB2312"/>
          <w:b w:val="0"/>
          <w:color w:val="000000"/>
          <w:sz w:val="32"/>
        </w:rPr>
        <w:t>从出资人属性看，公司属于地方国有企业序列，国有资本的出资人代表依法履行国有资产保值增值职责，企业重大投资、重大资产处置、对外担保、领导人员选任等事项须按照国资监管相关规定履行审批或备案程序。国有出资背景一方面使企业在土地、厂房等要素保障和银行信贷可得性方面具有相对优势；另一方面也决定了企业在决策效率、市场化激励等方面需要持续推进机制创新。</w:t>
      </w:r>
    </w:p>
    <w:p>
      <w:pPr>
        <w:spacing w:lineRule="exact" w:line="600" w:before="0" w:after="0"/>
        <w:ind w:firstLine="420"/>
        <w:jc w:val="both"/>
      </w:pPr>
      <w:r>
        <w:rPr>
          <w:rFonts w:ascii="仿宋_GB2312" w:hAnsi="仿宋_GB2312" w:eastAsia="仿宋_GB2312"/>
          <w:b w:val="0"/>
          <w:color w:val="000000"/>
          <w:sz w:val="32"/>
        </w:rPr>
        <w:t>党的建设方面，国有企业普遍坚持"两个一以贯之"，将党的领导融入公司治理各环节。建议在尽调中调阅企业党委会、董事会、经理层议事规则及近三年重大事项决策记录。</w:t>
      </w:r>
    </w:p>
    <w:p>
      <w:pPr>
        <w:spacing w:lineRule="exact" w:line="600" w:before="0" w:after="0"/>
        <w:ind w:firstLine="420"/>
        <w:jc w:val="both"/>
      </w:pPr>
      <w:r>
        <w:rPr>
          <w:rFonts w:ascii="仿宋_GB2312" w:hAnsi="仿宋_GB2312" w:eastAsia="仿宋_GB2312"/>
          <w:b w:val="0"/>
          <w:color w:val="000000"/>
          <w:sz w:val="32"/>
        </w:rPr>
        <w:t>从出资人属性看，胜华新材属于地方国有企业序列，国有资本的出资人代表依法履行国有资产保值增值职责，企业重大投资、重大资产处置、对外担保、领导人员选任等事项须按照国资监管相关规定履行审批或备案程序。国有出资背景一方面使企业在土地、厂房等要素保障和银行信贷可得性方面具有相对优势，历史包袱处理、职工安置等方面亦有政策通道；另一方面也决定了企业在决策效率、市场化激励、混合所有制改革等方面需要持续推进机制创新。金融机构在评估该类企业时，除考察其自身现金流与资产状况外，还应关注国资出资人的层级、实际支持意愿与方式，避免将出资人信用简单等同于企业信用。</w:t>
      </w:r>
    </w:p>
    <w:p>
      <w:pPr>
        <w:spacing w:lineRule="exact" w:line="600" w:before="0" w:after="0"/>
        <w:ind w:firstLine="420"/>
        <w:jc w:val="both"/>
      </w:pPr>
      <w:r>
        <w:rPr>
          <w:rFonts w:ascii="仿宋_GB2312" w:hAnsi="仿宋_GB2312" w:eastAsia="仿宋_GB2312"/>
          <w:b w:val="0"/>
          <w:color w:val="000000"/>
          <w:sz w:val="32"/>
        </w:rPr>
        <w:t>党的建设方面，国有企业普遍坚持"两个一以贯之"，将党的领导融入公司治理各环节，通过党委（党组）前置研究讨论重大经营管理事项，把方向、管大局、保落实。基层党组织在生产一线设立党支部、党小组，开展党员攻关、技术比武、安全生产责任落实等活动，把党建优势转化为技术攻关和市场开拓的组织优势。建议在尽调中调阅企业党委会、董事会、经理层议事规则及近三年重大事项决策记录，判断治理运行的规范性与决策留痕的完整性。</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胜华新材的发展与其在锂电池电解液溶剂领域二十余年的深耕深度绑定。公司是全球最大的锂电池电解液溶剂供应商，碳酸酯溶剂全球占有率超过40%，是国内生产基地最多的碳酸酯供应商（东营、济宁、泉州、武汉），并设日本、韩国、捷克等海外分支机构。</w:t>
      </w:r>
    </w:p>
    <w:p>
      <w:pPr>
        <w:spacing w:lineRule="exact" w:line="600" w:before="0" w:after="0"/>
        <w:ind w:firstLine="420"/>
        <w:jc w:val="both"/>
      </w:pPr>
      <w:r>
        <w:rPr>
          <w:rFonts w:ascii="仿宋_GB2312" w:hAnsi="仿宋_GB2312" w:eastAsia="仿宋_GB2312"/>
          <w:b w:val="0"/>
          <w:color w:val="000000"/>
          <w:sz w:val="32"/>
        </w:rPr>
        <w:t>在业绩端，公司2023年营收56.35亿元、归母1872.60万元；2024年营收55.47亿元、归母1641.96万元；2025年营收68.08亿元、归母1589.85万元，营收稳中有增但盈利承压（行业景气下行）。公司东营基地30万吨电解液产能2024年稳步提升、全年出货6万多吨、同比增幅超3倍、成功入围行业前十；武汉基地20万吨/年电解液项目与22万吨/年溶剂项目2024年6月底一次开车成功。</w:t>
      </w:r>
    </w:p>
    <w:p>
      <w:pPr>
        <w:spacing w:lineRule="exact" w:line="600" w:before="0" w:after="0"/>
        <w:ind w:firstLine="420"/>
        <w:jc w:val="both"/>
      </w:pPr>
      <w:r>
        <w:rPr>
          <w:rFonts w:ascii="仿宋_GB2312" w:hAnsi="仿宋_GB2312" w:eastAsia="仿宋_GB2312"/>
          <w:b w:val="0"/>
          <w:color w:val="000000"/>
          <w:sz w:val="32"/>
        </w:rPr>
        <w:t>在技术端，公司拥有150余项技术专利，是全球唯一同时提供锂离子电池电解液、溶剂、溶质、添加剂产品的全产业链公司，也是目前电解液行业唯一将上游延伸至环氧丙烷的企业，可实现95%以上基础原材料自供。这一沿革表明公司成长源于技术壁垒与全产业链协同，可持续性较好。</w:t>
      </w:r>
    </w:p>
    <w:p>
      <w:pPr>
        <w:spacing w:lineRule="exact" w:line="600" w:before="0" w:after="0"/>
        <w:ind w:firstLine="420"/>
        <w:jc w:val="both"/>
      </w:pPr>
      <w:r>
        <w:rPr>
          <w:rFonts w:ascii="仿宋_GB2312" w:hAnsi="仿宋_GB2312" w:eastAsia="仿宋_GB2312"/>
          <w:b w:val="0"/>
          <w:color w:val="000000"/>
          <w:sz w:val="32"/>
        </w:rPr>
        <w:t>总体看，胜华新材的发展轨迹与精细化工与化工新材料行业演进和东营市垦利区高性能特种新材料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锂电池电解液及溶剂全产业链环节，是全球最大的电解液溶剂供应商（碳酸酯溶剂全球占有率超40%），也是全球唯一同时提供电解液、溶剂、溶质、添加剂的全产业链公司。据公开报道，东营基地30万吨电解液产能2024年出货6万多吨、入围行业前十；武汉基地20万吨电解液项目已投产；与宁德时代、比亚迪深化战略合作，在宁德时代份额逐步升至前列。</w:t>
      </w:r>
    </w:p>
    <w:p>
      <w:pPr>
        <w:spacing w:lineRule="exact" w:line="600" w:before="0" w:after="0"/>
        <w:ind w:firstLine="420"/>
        <w:jc w:val="both"/>
      </w:pPr>
      <w:r>
        <w:rPr>
          <w:rFonts w:ascii="仿宋_GB2312" w:hAnsi="仿宋_GB2312" w:eastAsia="仿宋_GB2312"/>
          <w:b w:val="0"/>
          <w:color w:val="000000"/>
          <w:sz w:val="32"/>
        </w:rPr>
        <w:t>上述份额与客户数据来自企业与行业公开报道，建议通过下游客户采购情况与行业协会统计交叉验证。</w:t>
      </w:r>
    </w:p>
    <w:p>
      <w:pPr>
        <w:spacing w:lineRule="exact" w:line="600" w:before="0" w:after="0"/>
        <w:ind w:firstLine="420"/>
        <w:jc w:val="both"/>
      </w:pPr>
      <w:r>
        <w:rPr>
          <w:rFonts w:ascii="仿宋_GB2312" w:hAnsi="仿宋_GB2312" w:eastAsia="仿宋_GB2312"/>
          <w:b w:val="0"/>
          <w:color w:val="000000"/>
          <w:sz w:val="32"/>
        </w:rPr>
        <w:t>在东营市垦利区高性能特种新材料产业集群的产业链分工中，胜华新材处于"锂电电解液及溶剂材料"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碳酸酯溶剂、电解液、六氟磷酸锂及添加剂为核心，是全球唯一同时提供电解液、溶剂、溶质、添加剂产品的全产业链公司。2024年碳酸二甲酯系列、甲基叔丁基醚系列、气体系列分别实现销量77.39、20.98、1.45万吨；截至2024年底拥有碳酸二甲酯10万吨/年、碳酸甲乙酯9万吨/年、碳酸乙烯酯5万吨/年、六氟磷酸锂2000吨/年、添加剂6330吨/年产能，是国内生产基地最多的碳酸酯供应商。</w:t>
      </w:r>
    </w:p>
    <w:p>
      <w:pPr>
        <w:spacing w:lineRule="exact" w:line="600" w:before="0" w:after="0"/>
        <w:ind w:firstLine="420"/>
        <w:jc w:val="both"/>
      </w:pPr>
      <w:r>
        <w:rPr>
          <w:rFonts w:ascii="仿宋_GB2312" w:hAnsi="仿宋_GB2312" w:eastAsia="仿宋_GB2312"/>
          <w:b w:val="0"/>
          <w:color w:val="000000"/>
          <w:sz w:val="32"/>
        </w:rPr>
        <w:t>各产品线的销量、单价与毛利率数据未逐项公开，建议在尽调中重点获取分产品财务序列与产能利用率。</w:t>
      </w:r>
    </w:p>
    <w:p>
      <w:pPr>
        <w:spacing w:lineRule="exact" w:line="600" w:before="0" w:after="0"/>
        <w:ind w:firstLine="420"/>
        <w:jc w:val="both"/>
      </w:pPr>
      <w:r>
        <w:rPr>
          <w:rFonts w:ascii="仿宋_GB2312" w:hAnsi="仿宋_GB2312" w:eastAsia="仿宋_GB2312"/>
          <w:b w:val="0"/>
          <w:color w:val="000000"/>
          <w:sz w:val="32"/>
        </w:rPr>
        <w:t>从业务结构的稳健性看，评价胜华新材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跨东营、济宁、泉州、武汉多地，东营基地30万吨电解液产能、武汉基地20万吨电解液与22万吨溶剂项目已投产，并设日本、韩国、捷克等海外分支机构。化工与新能源材料行业属于资本密集、许可密集行业，产能有效性取决于安全生产许可、环评批复、能耗与碳排放指标及园区准入等约束。</w:t>
      </w:r>
    </w:p>
    <w:p>
      <w:pPr>
        <w:spacing w:lineRule="exact" w:line="600" w:before="0" w:after="0"/>
        <w:ind w:firstLine="420"/>
        <w:jc w:val="both"/>
      </w:pPr>
      <w:r>
        <w:rPr>
          <w:rFonts w:ascii="仿宋_GB2312" w:hAnsi="仿宋_GB2312" w:eastAsia="仿宋_GB2312"/>
          <w:b w:val="0"/>
          <w:color w:val="000000"/>
          <w:sz w:val="32"/>
        </w:rPr>
        <w:t>资质方面，公司须取得危险化学品生产许可、排污许可、ISO/IATF16949等体系认证及下游电池企业合格供应商资格（已与宁德时代、比亚迪深度合作）。具体产能、许可与有效期未公开披露，建议逐项核查。</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为宁德时代、比亚迪等头部电池与整车企业，客户信用等级高但账期长、议价能力强，易形成应收账款与票据的规模沉淀。与宁德时代签订协议约定至2025年12月31日向其采购电解液需求预计10万吨，与比亚迪深化合作。</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w:t>
      </w:r>
    </w:p>
    <w:p>
      <w:pPr>
        <w:spacing w:lineRule="exact" w:line="600" w:before="0" w:after="0"/>
        <w:ind w:firstLine="420"/>
        <w:jc w:val="both"/>
      </w:pPr>
      <w:r>
        <w:rPr>
          <w:rFonts w:ascii="仿宋_GB2312" w:hAnsi="仿宋_GB2312" w:eastAsia="仿宋_GB2312"/>
          <w:b w:val="0"/>
          <w:color w:val="000000"/>
          <w:sz w:val="32"/>
        </w:rPr>
        <w:t>客户结构是判断胜华新材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公司主要原料为环氧丙烷等基础化工原料，公司是全球唯一将上游延伸至环氧丙烷的电解液企业，可实现95%以上基础原材料自供，一体化优势显著，降低了外部采购依赖与价格波动风险。</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主要供应商名单、采购集中度与库存周转未公开披露。建议核查原料价格波动应对机制与一体化协同的成本效果。</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据公开数据，垦利区2024年规上工业总产值1081.9亿元、同比+12.9%，化学原料及制品业产值654.2亿元、+27.0%。胜华新材为全球电解液溶剂龙头（份额超40%），东营基地电解液出货入围行业前十。</w:t>
      </w:r>
    </w:p>
    <w:p>
      <w:pPr>
        <w:spacing w:lineRule="exact" w:line="600" w:before="0" w:after="0"/>
        <w:ind w:firstLine="420"/>
        <w:jc w:val="both"/>
      </w:pPr>
      <w:r>
        <w:rPr>
          <w:rFonts w:ascii="仿宋_GB2312" w:hAnsi="仿宋_GB2312" w:eastAsia="仿宋_GB2312"/>
          <w:b w:val="0"/>
          <w:color w:val="000000"/>
          <w:sz w:val="32"/>
        </w:rPr>
        <w:t>竞争格局方面，电解液及溶剂环节经历高速扩张后进入产能出清与价格下行阶段。胜华新材凭借全产业链一体化与全球溶剂龙头地位具备成本与规模优势，但盈利仍受行业周期影响。</w:t>
      </w:r>
    </w:p>
    <w:p>
      <w:pPr>
        <w:spacing w:lineRule="exact" w:line="600" w:before="0" w:after="0"/>
        <w:ind w:firstLine="420"/>
        <w:jc w:val="both"/>
      </w:pPr>
      <w:r>
        <w:rPr>
          <w:rFonts w:ascii="仿宋_GB2312" w:hAnsi="仿宋_GB2312" w:eastAsia="仿宋_GB2312"/>
          <w:b w:val="0"/>
          <w:color w:val="000000"/>
          <w:sz w:val="32"/>
        </w:rPr>
        <w:t>判断胜华新材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以下为胜华新材近三年主要会计数据，来源于公司公开披露的2023年、2024年年度报告及2025年第三季度报告，金额单位为人民币元，供分析参考。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551"/>
          </w:tcPr>
          <w:p>
            <w:pPr>
              <w:spacing w:lineRule="exact" w:line="600"/>
              <w:jc w:val="center"/>
            </w:pPr>
            <w:r/>
            <w:r>
              <w:rPr>
                <w:rFonts w:ascii="黑体" w:hAnsi="黑体" w:eastAsia="黑体"/>
                <w:b/>
                <w:color w:val="000000"/>
                <w:sz w:val="32"/>
              </w:rPr>
              <w:t>指标</w:t>
            </w:r>
          </w:p>
        </w:tc>
        <w:tc>
          <w:tcPr>
            <w:tcW w:type="dxa" w:w="2098"/>
          </w:tcPr>
          <w:p>
            <w:pPr>
              <w:spacing w:lineRule="exact" w:line="600"/>
              <w:jc w:val="center"/>
            </w:pPr>
            <w:r/>
            <w:r>
              <w:rPr>
                <w:rFonts w:ascii="黑体" w:hAnsi="黑体" w:eastAsia="黑体"/>
                <w:b/>
                <w:color w:val="000000"/>
                <w:sz w:val="32"/>
              </w:rPr>
              <w:t>2023年</w:t>
            </w:r>
          </w:p>
        </w:tc>
        <w:tc>
          <w:tcPr>
            <w:tcW w:type="dxa" w:w="2098"/>
          </w:tcPr>
          <w:p>
            <w:pPr>
              <w:spacing w:lineRule="exact" w:line="600"/>
              <w:jc w:val="center"/>
            </w:pPr>
            <w:r/>
            <w:r>
              <w:rPr>
                <w:rFonts w:ascii="黑体" w:hAnsi="黑体" w:eastAsia="黑体"/>
                <w:b/>
                <w:color w:val="000000"/>
                <w:sz w:val="32"/>
              </w:rPr>
              <w:t>2024年</w:t>
            </w:r>
          </w:p>
        </w:tc>
        <w:tc>
          <w:tcPr>
            <w:tcW w:type="dxa" w:w="2098"/>
          </w:tcPr>
          <w:p>
            <w:pPr>
              <w:spacing w:lineRule="exact" w:line="600"/>
              <w:jc w:val="center"/>
            </w:pPr>
            <w:r/>
            <w:r>
              <w:rPr>
                <w:rFonts w:ascii="黑体" w:hAnsi="黑体" w:eastAsia="黑体"/>
                <w:b/>
                <w:color w:val="000000"/>
                <w:sz w:val="32"/>
              </w:rPr>
              <w:t>2025年</w:t>
            </w:r>
          </w:p>
        </w:tc>
      </w:tr>
      <w:tr>
        <w:tc>
          <w:tcPr>
            <w:tcW w:type="dxa" w:w="2551"/>
          </w:tcPr>
          <w:p>
            <w:pPr>
              <w:spacing w:lineRule="exact" w:line="600"/>
              <w:jc w:val="center"/>
            </w:pPr>
            <w:r/>
            <w:r>
              <w:rPr>
                <w:rFonts w:ascii="仿宋_GB2312" w:hAnsi="仿宋_GB2312" w:eastAsia="仿宋_GB2312"/>
                <w:b w:val="0"/>
                <w:color w:val="000000"/>
                <w:sz w:val="32"/>
              </w:rPr>
              <w:t>营业收入（亿元）</w:t>
            </w:r>
          </w:p>
        </w:tc>
        <w:tc>
          <w:tcPr>
            <w:tcW w:type="dxa" w:w="2098"/>
          </w:tcPr>
          <w:p>
            <w:pPr>
              <w:spacing w:lineRule="exact" w:line="600"/>
              <w:jc w:val="center"/>
            </w:pPr>
            <w:r/>
            <w:r>
              <w:rPr>
                <w:rFonts w:ascii="仿宋_GB2312" w:hAnsi="仿宋_GB2312" w:eastAsia="仿宋_GB2312"/>
                <w:b w:val="0"/>
                <w:color w:val="000000"/>
                <w:sz w:val="32"/>
              </w:rPr>
              <w:t>56.35</w:t>
            </w:r>
          </w:p>
        </w:tc>
        <w:tc>
          <w:tcPr>
            <w:tcW w:type="dxa" w:w="2098"/>
          </w:tcPr>
          <w:p>
            <w:pPr>
              <w:spacing w:lineRule="exact" w:line="600"/>
              <w:jc w:val="center"/>
            </w:pPr>
            <w:r/>
            <w:r>
              <w:rPr>
                <w:rFonts w:ascii="仿宋_GB2312" w:hAnsi="仿宋_GB2312" w:eastAsia="仿宋_GB2312"/>
                <w:b w:val="0"/>
                <w:color w:val="000000"/>
                <w:sz w:val="32"/>
              </w:rPr>
              <w:t>55.47</w:t>
            </w:r>
          </w:p>
        </w:tc>
        <w:tc>
          <w:tcPr>
            <w:tcW w:type="dxa" w:w="2098"/>
          </w:tcPr>
          <w:p>
            <w:pPr>
              <w:spacing w:lineRule="exact" w:line="600"/>
              <w:jc w:val="center"/>
            </w:pPr>
            <w:r/>
            <w:r>
              <w:rPr>
                <w:rFonts w:ascii="仿宋_GB2312" w:hAnsi="仿宋_GB2312" w:eastAsia="仿宋_GB2312"/>
                <w:b w:val="0"/>
                <w:color w:val="000000"/>
                <w:sz w:val="32"/>
              </w:rPr>
              <w:t>68.08</w:t>
            </w:r>
          </w:p>
        </w:tc>
      </w:tr>
      <w:tr>
        <w:tc>
          <w:tcPr>
            <w:tcW w:type="dxa" w:w="2551"/>
          </w:tcPr>
          <w:p>
            <w:pPr>
              <w:spacing w:lineRule="exact" w:line="600"/>
              <w:jc w:val="center"/>
            </w:pPr>
            <w:r/>
            <w:r>
              <w:rPr>
                <w:rFonts w:ascii="仿宋_GB2312" w:hAnsi="仿宋_GB2312" w:eastAsia="仿宋_GB2312"/>
                <w:b w:val="0"/>
                <w:color w:val="000000"/>
                <w:sz w:val="32"/>
              </w:rPr>
              <w:t>归母净利润（亿元）</w:t>
            </w:r>
          </w:p>
        </w:tc>
        <w:tc>
          <w:tcPr>
            <w:tcW w:type="dxa" w:w="2098"/>
          </w:tcPr>
          <w:p>
            <w:pPr>
              <w:spacing w:lineRule="exact" w:line="600"/>
              <w:jc w:val="center"/>
            </w:pPr>
            <w:r/>
            <w:r>
              <w:rPr>
                <w:rFonts w:ascii="仿宋_GB2312" w:hAnsi="仿宋_GB2312" w:eastAsia="仿宋_GB2312"/>
                <w:b w:val="0"/>
                <w:color w:val="000000"/>
                <w:sz w:val="32"/>
              </w:rPr>
              <w:t>0.19</w:t>
            </w:r>
          </w:p>
        </w:tc>
        <w:tc>
          <w:tcPr>
            <w:tcW w:type="dxa" w:w="2098"/>
          </w:tcPr>
          <w:p>
            <w:pPr>
              <w:spacing w:lineRule="exact" w:line="600"/>
              <w:jc w:val="center"/>
            </w:pPr>
            <w:r/>
            <w:r>
              <w:rPr>
                <w:rFonts w:ascii="仿宋_GB2312" w:hAnsi="仿宋_GB2312" w:eastAsia="仿宋_GB2312"/>
                <w:b w:val="0"/>
                <w:color w:val="000000"/>
                <w:sz w:val="32"/>
              </w:rPr>
              <w:t>0.16</w:t>
            </w:r>
          </w:p>
        </w:tc>
        <w:tc>
          <w:tcPr>
            <w:tcW w:type="dxa" w:w="2098"/>
          </w:tcPr>
          <w:p>
            <w:pPr>
              <w:spacing w:lineRule="exact" w:line="600"/>
              <w:jc w:val="center"/>
            </w:pPr>
            <w:r/>
            <w:r>
              <w:rPr>
                <w:rFonts w:ascii="仿宋_GB2312" w:hAnsi="仿宋_GB2312" w:eastAsia="仿宋_GB2312"/>
                <w:b w:val="0"/>
                <w:color w:val="000000"/>
                <w:sz w:val="32"/>
              </w:rPr>
              <w:t>0.16</w:t>
            </w:r>
          </w:p>
        </w:tc>
      </w:tr>
      <w:tr>
        <w:tc>
          <w:tcPr>
            <w:tcW w:type="dxa" w:w="2551"/>
          </w:tcPr>
          <w:p>
            <w:pPr>
              <w:spacing w:lineRule="exact" w:line="600"/>
              <w:jc w:val="center"/>
            </w:pPr>
            <w:r/>
            <w:r>
              <w:rPr>
                <w:rFonts w:ascii="仿宋_GB2312" w:hAnsi="仿宋_GB2312" w:eastAsia="仿宋_GB2312"/>
                <w:b w:val="0"/>
                <w:color w:val="000000"/>
                <w:sz w:val="32"/>
              </w:rPr>
              <w:t>总资产（亿元）</w:t>
            </w:r>
          </w:p>
        </w:tc>
        <w:tc>
          <w:tcPr>
            <w:tcW w:type="dxa" w:w="2098"/>
          </w:tcPr>
          <w:p>
            <w:pPr>
              <w:spacing w:lineRule="exact" w:line="600"/>
              <w:jc w:val="center"/>
            </w:pPr>
            <w:r/>
            <w:r>
              <w:rPr>
                <w:rFonts w:ascii="仿宋_GB2312" w:hAnsi="仿宋_GB2312" w:eastAsia="仿宋_GB2312"/>
                <w:b w:val="0"/>
                <w:color w:val="000000"/>
                <w:sz w:val="32"/>
              </w:rPr>
              <w:t>72.76</w:t>
            </w:r>
          </w:p>
        </w:tc>
        <w:tc>
          <w:tcPr>
            <w:tcW w:type="dxa" w:w="2098"/>
          </w:tcPr>
          <w:p>
            <w:pPr>
              <w:spacing w:lineRule="exact" w:line="600"/>
              <w:jc w:val="center"/>
            </w:pPr>
            <w:r/>
            <w:r>
              <w:rPr>
                <w:rFonts w:ascii="仿宋_GB2312" w:hAnsi="仿宋_GB2312" w:eastAsia="仿宋_GB2312"/>
                <w:b w:val="0"/>
                <w:color w:val="000000"/>
                <w:sz w:val="32"/>
              </w:rPr>
              <w:t>96.49</w:t>
            </w:r>
          </w:p>
        </w:tc>
        <w:tc>
          <w:tcPr>
            <w:tcW w:type="dxa" w:w="2098"/>
          </w:tcPr>
          <w:p>
            <w:pPr>
              <w:spacing w:lineRule="exact" w:line="600"/>
              <w:jc w:val="center"/>
            </w:pPr>
            <w:r/>
            <w:r>
              <w:rPr>
                <w:rFonts w:ascii="仿宋_GB2312" w:hAnsi="仿宋_GB2312" w:eastAsia="仿宋_GB2312"/>
                <w:b w:val="0"/>
                <w:color w:val="000000"/>
                <w:sz w:val="32"/>
              </w:rPr>
              <w:t>113.74</w:t>
            </w:r>
          </w:p>
        </w:tc>
      </w:tr>
      <w:tr>
        <w:tc>
          <w:tcPr>
            <w:tcW w:type="dxa" w:w="2551"/>
          </w:tcPr>
          <w:p>
            <w:pPr>
              <w:spacing w:lineRule="exact" w:line="600"/>
              <w:jc w:val="center"/>
            </w:pPr>
            <w:r/>
            <w:r>
              <w:rPr>
                <w:rFonts w:ascii="仿宋_GB2312" w:hAnsi="仿宋_GB2312" w:eastAsia="仿宋_GB2312"/>
                <w:b w:val="0"/>
                <w:color w:val="000000"/>
                <w:sz w:val="32"/>
              </w:rPr>
              <w:t>资产负债率（%）</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55.19</w:t>
            </w:r>
          </w:p>
        </w:tc>
        <w:tc>
          <w:tcPr>
            <w:tcW w:type="dxa" w:w="2098"/>
          </w:tcPr>
          <w:p>
            <w:pPr>
              <w:spacing w:lineRule="exact" w:line="600"/>
              <w:jc w:val="center"/>
            </w:pPr>
            <w:r/>
            <w:r>
              <w:rPr>
                <w:rFonts w:ascii="仿宋_GB2312" w:hAnsi="仿宋_GB2312" w:eastAsia="仿宋_GB2312"/>
                <w:b w:val="0"/>
                <w:color w:val="000000"/>
                <w:sz w:val="32"/>
              </w:rPr>
              <w:t>53.38</w:t>
            </w:r>
          </w:p>
        </w:tc>
      </w:tr>
      <w:tr>
        <w:tc>
          <w:tcPr>
            <w:tcW w:type="dxa" w:w="2551"/>
          </w:tcPr>
          <w:p>
            <w:pPr>
              <w:spacing w:lineRule="exact" w:line="600"/>
              <w:jc w:val="center"/>
            </w:pPr>
            <w:r/>
            <w:r>
              <w:rPr>
                <w:rFonts w:ascii="仿宋_GB2312" w:hAnsi="仿宋_GB2312" w:eastAsia="仿宋_GB2312"/>
                <w:b w:val="0"/>
                <w:color w:val="000000"/>
                <w:sz w:val="32"/>
              </w:rPr>
              <w:t>经营现金流净额（亿元）</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-4.48</w:t>
            </w:r>
          </w:p>
        </w:tc>
        <w:tc>
          <w:tcPr>
            <w:tcW w:type="dxa" w:w="2098"/>
          </w:tcPr>
          <w:p>
            <w:pPr>
              <w:spacing w:lineRule="exact" w:line="600"/>
              <w:jc w:val="center"/>
            </w:pPr>
            <w:r/>
            <w:r>
              <w:rPr>
                <w:rFonts w:ascii="仿宋_GB2312" w:hAnsi="仿宋_GB2312" w:eastAsia="仿宋_GB2312"/>
                <w:b w:val="0"/>
                <w:color w:val="000000"/>
                <w:sz w:val="32"/>
              </w:rPr>
              <w:t>-12.90</w:t>
            </w:r>
          </w:p>
        </w:tc>
      </w:tr>
    </w:tbl>
    <w:p>
      <w:pPr>
        <w:spacing w:lineRule="exact" w:line="600" w:before="0" w:after="0"/>
        <w:ind w:firstLine="420"/>
        <w:jc w:val="both"/>
      </w:pPr>
      <w:r>
        <w:rPr>
          <w:rFonts w:ascii="仿宋_GB2312" w:hAnsi="仿宋_GB2312" w:eastAsia="仿宋_GB2312"/>
          <w:b w:val="0"/>
          <w:color w:val="000000"/>
          <w:sz w:val="32"/>
        </w:rPr>
        <w:t>从近三年数据看，公司营业收入由2023年的56.35亿元、2024年55.47亿元增至2025年的68.08亿元，营收稳中有增；但归母净利润仅0.19、0.16、0.16亿元，盈利持续承压；总资产由72.76亿元增至113.74亿元，资产负债率由55.19%降至53.38%，经营现金流净额由2024年-4.48亿元扩大至2025年-12.90亿元，显示重资产扩张期现金流压力加大。</w:t>
      </w:r>
    </w:p>
    <w:p>
      <w:pPr>
        <w:spacing w:lineRule="exact" w:line="600" w:before="0" w:after="0"/>
        <w:ind w:firstLine="420"/>
        <w:jc w:val="both"/>
      </w:pPr>
      <w:r>
        <w:rPr>
          <w:rFonts w:ascii="仿宋_GB2312" w:hAnsi="仿宋_GB2312" w:eastAsia="仿宋_GB2312"/>
          <w:b w:val="0"/>
          <w:color w:val="000000"/>
          <w:sz w:val="32"/>
        </w:rPr>
        <w:t>数据反映出电解液行业价格下行对胜华新材盈利的冲击：营收增长但利润微薄、经营现金流转负且扩大。公司凭借全产业链一体化与全球溶剂龙头地位维持规模，但短期盈利与现金流承压，需关注其重资产扩张的资金平衡。</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盈利微薄（2025年归母仅0.16亿元），化工新材料企业的盈利能力本质上由"价差"驱动。在行业景气下行期，产品价格下跌而原料价格具有刚性，毛利率快速收窄。胜华新材的判断盈利可持续性，应重点考察其在成本曲线上的位置——95%以上基础原料自供的全产业链一体化，使其处于行业成本分位左侧，在低谷期具备相对优势。</w:t>
      </w:r>
    </w:p>
    <w:p>
      <w:pPr>
        <w:spacing w:lineRule="exact" w:line="600" w:before="0" w:after="0"/>
        <w:ind w:firstLine="420"/>
        <w:jc w:val="both"/>
      </w:pPr>
      <w:r>
        <w:rPr>
          <w:rFonts w:ascii="仿宋_GB2312" w:hAnsi="仿宋_GB2312" w:eastAsia="仿宋_GB2312"/>
          <w:b w:val="0"/>
          <w:color w:val="000000"/>
          <w:sz w:val="32"/>
        </w:rPr>
        <w:t>化工新材料企业的盈利能力本质上由"价差"驱动，即产品价格与主要原料价格之间的差额。分析时应将毛利率变动拆解为量、价、成本三项因素：在行业景气上行期，价格上涨快于成本，毛利率扩张；在下行期，产品价格下跌而原料价格具有刚性，毛利率快速收窄甚至转负。判断盈利可持续性的关键，不在于某一年度毛利率的绝对高低，而在于企业在周期底部的成本分位——处于行业成本曲线左侧的企业能够在低谷期维持开工并挤出高成本产能，从而在复苏期获得超额收益。因此对胜华新材的盈利评价，应重点考察其单位产品能耗、原料自供率、装置规模与一体化程度等决定成本位次的结构性因素。</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质量应关注应收账款（头部客户账期较长）、存货（溶剂与电解液受价格下跌影响存在减值风险）及固定资产（多基地重资产，在建工程转固进度需关注）。2025年总资产113.74亿元、经营现金流-12.90亿元，重资产扩张期资产与现金流匹配度需重点评估。建议核查坏账计提与存货跌价准备。</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公司2025年资产负债率53.38%，有息债务规模随重资产扩张上升。建议核查授信品种构成、期限结构、短期借款占比及抵质押安排，防范期限错配与再融资风险。</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胜华新材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公司2025年经营现金流净额-12.90亿元，由负扩大，显示重资产扩张与营运资金占用压力。建议获取近三年现金流量表与主要银行账户流水，验证销售回款真实性与资本开支匹配度，并编制未来资金收支计划。</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胜华新材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同业对标可选取电解液与溶剂领域上市企业作为参照，关注其毛利率、资产负债率与经营现金流水平。需注意胜华新材为全球溶剂龙头且全产业链一体化，与同业在成本分位上差异较大，对比时应考虑结构性。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作为国有控股上市公司，胜华新材须建立股东大会、董事会、监事会与经理层各司其职、有效制衡的治理结构，设立独立董事及专门委员会，并将党的领导融入公司治理。治理有效性的判断应考察制度实际运行与重大事项决策留痕。</w:t>
      </w:r>
    </w:p>
    <w:p>
      <w:pPr>
        <w:spacing w:lineRule="exact" w:line="600" w:before="0" w:after="0"/>
        <w:ind w:firstLine="420"/>
        <w:jc w:val="both"/>
      </w:pPr>
      <w:r>
        <w:rPr>
          <w:rFonts w:ascii="仿宋_GB2312" w:hAnsi="仿宋_GB2312" w:eastAsia="仿宋_GB2312"/>
          <w:b w:val="0"/>
          <w:color w:val="000000"/>
          <w:sz w:val="32"/>
        </w:rPr>
        <w:t>作为上市公司（或上市公司体系内主体），胜华新材须建立股东大会、董事会、监事会（或审计委员会）与经理层各司其职、有效制衡的治理结构，设立独立董事并在董事会下设审计、薪酬与考核、战略等专门委员会，制定并执行《公司章程》《三会议事规则》《关联交易管理制度》《对外担保管理制度》《信息披露管理制度》《内幕信息知情人登记制度》等规范。治理有效性的判断不应停留于制度是否齐备，而应考察制度的实际运行：独立董事是否发表过实质性异议、关联交易是否履行回避表决程序、内部审计是否独立向审计委员会报告、是否存在被监管部门问询、警示或处罚的记录。</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由国资出资人依照干部管理与经营者选聘制度任命或聘任，考核以国有资产保值增值、经营业绩指标完成情况和党建责任落实为主要内容。激励受工资总额管理与薪酬限高约束，建议重点关注任期制与契约化管理落地进展。</w:t>
      </w:r>
    </w:p>
    <w:p>
      <w:pPr>
        <w:spacing w:lineRule="exact" w:line="600" w:before="0" w:after="0"/>
        <w:ind w:firstLine="420"/>
        <w:jc w:val="both"/>
      </w:pPr>
      <w:r>
        <w:rPr>
          <w:rFonts w:ascii="仿宋_GB2312" w:hAnsi="仿宋_GB2312" w:eastAsia="仿宋_GB2312"/>
          <w:b w:val="0"/>
          <w:color w:val="000000"/>
          <w:sz w:val="32"/>
        </w:rPr>
        <w:t>国有企业管理层由出资人依照干部管理与经营者选聘制度任命或聘任，考核以国有资产保值增值、经营业绩指标完成情况和党建责任落实为主要内容。激励方面，受工资总额管理与薪酬限高约束，市场化激励空间相对有限，容易造成核心技术与营销骨干的流失。近年来国企普遍通过任期制和契约化管理、超额利润分享、项目分红、职业经理人试点等方式改善激励机制，建议关注该类改革在企业的落地进展与实际效果。</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公司员工总数、学历与专业结构、参保人数未公开披露。作为化工新材料企业，生产与研发人员占比较高。建议核查研发人员占比、核心团队稳定性及流动率。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垦利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应覆盖资金管理、采购与销售、存货与资产、关联交易及信息系统等环节。作为上市公司与国企，其内控与合规要求较高，特别是安全环保与危化品管理。建议核查其内控审计结论及近三年是否存在重大内控缺陷。</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电解液全产业链一体化与溶剂工艺工程化能力上。其是全球唯一同时提供电解液、溶剂、溶质、添加剂产品的公司，也是唯一将上游延伸至环氧丙烷的电解液企业，拥有150余项技术专利。技术壁垒的实质是"可持续的不可替代性"，一体化带来的成本与技术协同难以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胜华新材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有三重来源：一是规模，碳酸酯溶剂全球超40%份额带来显著的单位固定成本摊薄与采购议价能力；二是一体化，95%以上基础原料自供大幅降低外购成本与价格波动风险；三是多基地布局的物流与要素成本节约。三者均属结构性优势，可持续性较强。</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B端大客户壁垒表现为电池企业合格供应商认证与联合开发深度，进入需多轮审核与长期验证。胜华新材与宁德时代、比亚迪深度合作（宁德时代承诺至2025年底采购电解液需求预计10万吨），客户锁定扎实。</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垦利高性能特种新材料集群为胜华新材提供了要素共享、知识溢出与市场匹配三类外部经济，特别是垦利区1081.9亿元规上工业总产值的产业生态、化工园区的基础设施配套，以及上下游就近协同。</w:t>
      </w:r>
    </w:p>
    <w:p>
      <w:pPr>
        <w:spacing w:lineRule="exact" w:line="600" w:before="0" w:after="0"/>
        <w:ind w:firstLine="420"/>
        <w:jc w:val="both"/>
      </w:pPr>
      <w:r>
        <w:rPr>
          <w:rFonts w:ascii="仿宋_GB2312" w:hAnsi="仿宋_GB2312" w:eastAsia="仿宋_GB2312"/>
          <w:b w:val="0"/>
          <w:color w:val="000000"/>
          <w:sz w:val="32"/>
        </w:rPr>
        <w:t>东营市垦利区高性能特种新材料产业集群为胜华新材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胜华新材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原油与煤炭等上游原料价格、下游需求景气度多重影响。近年来国内多数大宗与通用化工品种进入产能集中释放期，价格与价差承压。对胜华新材而言，电解液行业经历高速扩张后进入产能出清与价格下行阶段，周期风险不可回避，只能通过降低成本分位、提高差异化程度削弱冲击。</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原油与煤炭等上游原料价格、下游需求景气度多重影响。近年来国内多数大宗与通用化工品种进入产能集中释放期，价格与价差承压，行业利润向一体化、规模化、差异化企业集中。对企业而言，周期风险不可回避，只能通过降低成本分位、提高产品差异化程度、延伸高附加值产业链来削弱其冲击。金融机构在授信时应按周期底部情景进行压力测试，而非按景气高点的盈利水平核定额度。</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竞争风险的现实表现是价格战与份额侵蚀。电解液及溶剂环节产能过剩、加工费压缩，胜华新材需在成本一体化与产品差异化上构筑非价格竞争优势。建议企业以全产业链成本优势抵御价格战。</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胜华新材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客户集中度方面，若收入依赖宁德时代、比亚迪等少数头部客户，单一客户变动会造成冲击。建议建立客户信用评级与额度管理，并运用信用保险、保理等工具转移风险。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供应链风险方面，胜华新材95%以上基础原料自供，外部依赖较低，一体化显著降低了原料价格波动与断供风险；但仍需关注环氧丙烷等自供原料的装置的运行稳定性。</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一票否决"性质的风险。合规要点包括安全生产标准化达标、重大危险源监控、特殊作业许可管理、排污许可证执行报告、危废合法处置与转移联单管理等。建议将近三年安全环保行政处罚记录查询列为授信前置条件。</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公司2025年经营现金流-12.90亿元、总资产113.74亿元，重资产扩张期资金压力显著。建议金融机构重点监测有息负债增长、票据融资占比、关联方资金往来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治理风险方面，作为地方国企控股上市公司，需平衡国资监管与市场化效率。建议核查关联交易合规与重大事项决策留痕。</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胜华新材面临的主要风险集中于电解液行业周期下行、重资产扩张的现金流压力（2025年经营现金流-12.90亿）及客户集中度，但其全球溶剂龙头地位、全产业链一体化与国资背景构成较强风险缓冲。整体风险等级中等，对其授信应重点关注现金流覆盖与项目达产节奏。</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从资金用途看，胜华新材的融资需求主要源于巨额资本性支出：多基地电解液与溶剂产能建设期限长、金额大，适配项目贷款、融资租赁与权益性资金；同时原料采购需要周转资金。</w:t>
      </w:r>
    </w:p>
    <w:p>
      <w:pPr>
        <w:spacing w:lineRule="exact" w:line="600" w:before="0" w:after="0"/>
        <w:ind w:firstLine="420"/>
        <w:jc w:val="both"/>
      </w:pPr>
      <w:r>
        <w:rPr>
          <w:rFonts w:ascii="仿宋_GB2312" w:hAnsi="仿宋_GB2312" w:eastAsia="仿宋_GB2312"/>
          <w:b w:val="0"/>
          <w:color w:val="000000"/>
          <w:sz w:val="32"/>
        </w:rPr>
        <w:t>从资金用途看，胜华新材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商业保理方面，胜华新材对下游宁德时代、比亚迪等头部客户的优质应收账款可作明保标的，且买方信用高，适配性较好；需做好基础资产确权与回款路径封闭管理。</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胜华新材，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供应链金融方面，胜华新材作为链主，可依托自身信用开展反向保理帮助上游原料供应商提前回款；亦可依托下游头部客户的订单与应付确认开展订单融资。</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胜华新材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融资租赁方面，胜华新材属于设备与装置投入密集型企业，融资租赁具有较强适配性，可行模式包括直接租赁与售后回租。风控要点在于设备的通用性与可处置性。</w:t>
      </w:r>
    </w:p>
    <w:p>
      <w:pPr>
        <w:spacing w:lineRule="exact" w:line="600" w:before="0" w:after="0"/>
        <w:ind w:firstLine="420"/>
        <w:jc w:val="both"/>
      </w:pPr>
      <w:r>
        <w:rPr>
          <w:rFonts w:ascii="仿宋_GB2312" w:hAnsi="仿宋_GB2312" w:eastAsia="仿宋_GB2312"/>
          <w:b w:val="0"/>
          <w:color w:val="000000"/>
          <w:sz w:val="32"/>
        </w:rPr>
        <w:t>胜华新材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小额贷款方面，更适配于胜华新材链上配套小微企业的应急周转与批量普惠授信，成本高于银行信贷，不宜作为长期主渠道。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胜华新材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胜华新材采取"项目融资为主、自偿性贸易融资为辅、普惠工具补充"的组合策略：资本开支匹配项目贷款与融资租赁；营运资金优先通过保理与供应链融资解决。共通风控要点包括交易真实性核验、回款路径封闭管理及集团与区域集中度管控。</w:t>
      </w:r>
    </w:p>
    <w:p>
      <w:pPr>
        <w:spacing w:lineRule="exact" w:line="600" w:before="0" w:after="0"/>
        <w:ind w:firstLine="420"/>
        <w:jc w:val="both"/>
      </w:pPr>
      <w:r>
        <w:rPr>
          <w:rFonts w:ascii="仿宋_GB2312" w:hAnsi="仿宋_GB2312" w:eastAsia="仿宋_GB2312"/>
          <w:b w:val="0"/>
          <w:color w:val="000000"/>
          <w:sz w:val="32"/>
        </w:rPr>
        <w:t>综合上述分析，建议对胜华新材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胜华新材是全球锂电池电解液溶剂龙头（碳酸酯溶剂全球占有率超40%），也是全球唯一电解液全产业链公司，国有控股上市公司，2025年营收68.08亿元、总资产113.74亿元。其全产业链一体化与全球溶剂地位构成深厚壁垒，但行业周期下行致盈利微薄、经营现金流为负，是当前主要压力。</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新能源汽车与储能长期增长背景下，胜华新材依托全球溶剂龙头地位、全产业链一体化与头部客户绑定，有望随行业景气回升改善盈利。建议关注其电解液出货量增长、海外基地拓展与现金流改善节奏。</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建议胜华新材在三个方面持续改进：一是强化降本与产品升级，改善盈利质量；二是优化债务结构与期限匹配，控制重资产扩张的现金流压力；三是强化安全环保与质量合规基础管理。</w:t>
      </w:r>
    </w:p>
    <w:p>
      <w:pPr>
        <w:spacing w:lineRule="exact" w:line="600" w:before="0" w:after="0"/>
        <w:ind w:firstLine="420"/>
        <w:jc w:val="both"/>
      </w:pPr>
      <w:r>
        <w:rPr>
          <w:rFonts w:ascii="仿宋_GB2312" w:hAnsi="仿宋_GB2312" w:eastAsia="仿宋_GB2312"/>
          <w:b w:val="0"/>
          <w:color w:val="000000"/>
          <w:sz w:val="32"/>
        </w:rPr>
        <w:t>此外，建议胜华新材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对金融机构而言，服务胜华新材应确立"看产业链、看国资、看场景"思路，以项目贷款与融资租赁匹配其重资产建设，以供应链金融解决周转，并持续监测经营现金流与行业景气度。</w:t>
      </w:r>
    </w:p>
    <w:p>
      <w:pPr>
        <w:spacing w:lineRule="exact" w:line="600" w:before="0" w:after="0"/>
        <w:ind w:firstLine="420"/>
        <w:jc w:val="both"/>
      </w:pPr>
      <w:r>
        <w:rPr>
          <w:rFonts w:ascii="仿宋_GB2312" w:hAnsi="仿宋_GB2312" w:eastAsia="仿宋_GB2312"/>
          <w:b w:val="0"/>
          <w:color w:val="000000"/>
          <w:sz w:val="32"/>
        </w:rPr>
        <w:t>总体而言，服务东营市垦利区高性能特种新材料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胜华新材料集团股份有限公司2023年、2024年年度报告及2025年第三季度报告。</w:t>
      </w:r>
    </w:p>
    <w:p>
      <w:pPr>
        <w:spacing w:lineRule="exact" w:line="600" w:before="0" w:after="0"/>
        <w:jc w:val="left"/>
      </w:pPr>
      <w:r>
        <w:rPr>
          <w:rFonts w:ascii="仿宋_GB2312" w:hAnsi="仿宋_GB2312" w:eastAsia="仿宋_GB2312"/>
          <w:b w:val="0"/>
          <w:color w:val="000000"/>
          <w:sz w:val="28"/>
        </w:rPr>
        <w:t>垦利区公开产业介绍材料（2024）。</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