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东营市河口区精工石化新材料特色产业集群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山东颐工材料科技股份有限公司企业分析报告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爱企查工商信息，颐工材料官网（eagone.com），地方党媒（智慧河口、鲁网）报道及东营港经济开发区公示等，统计时点截至2025—2026年公开披露信息。2025年营业收入3.12亿元为公开报道披露数据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颐工材料科技股份有限公司成立于2014年7月22日，统一社会信用代码91370503310380272C，法定代表人为杜如国，注册资本6846.67万元人民币，曾用名山东颐工化学有限公司。注册地址位于山东省东营市河口区蓝色经济开发区（明园路以南、经一路以东、纬七路以北），登记机关为东营市河口区市场监督管理局。公司所属行业为新材料/工程塑料助剂，系增值税一般纳税人，官网eagone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含自然人股东赵某（通过金达源等主体持股约3575万元，为第一大股东/疑似实控人）、卓安投资（持股1625万元）、王某（1300万元）及毅达系（高投毅达等，A轮融资方）等。主要人员含董事长杜如国等。公司无重大对外投资披露，组织架构聚焦主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2014年7月成立（原名山东颐工化学有限公司）；2018年10月1万吨/年工程塑料助剂（HR）项目开工建设；后推进3万吨/年工程塑料特种新材料项目，综合年产能达4万吨/年。近年连续获国家高新技术企业、国家专精特新"小巨人"、山东省瞪羚企业、山东省单项冠军企业、山东省绿色工厂等资质；完成A轮融资（毅达系入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公司专注工程塑料助剂高分子材料的研发、生产与销售，主营产品为ABS高胶粉、ASA高胶粉、MBS树脂等，应用于家电、汽车内外饰塑料件等领域，定位为高端工程塑料助剂国产替代供应商。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业务以工程塑料助剂（高胶粉、MBS树脂）为主，2025年实现营业收入3.12亿元。具体分产品收入构成未公开披露。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主要产品包括ABS高胶粉、ASA高胶粉、MBS树脂等四大系列产品，其中ABS高胶粉为核心拳头产品，添加少量即可大幅提升硬塑料抗冲击性能。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客户为下游家电、汽车改性塑料企业；公司占据国内高胶粉六成以上市场份额，产销量稳居全国第一，全国规模化量产高胶粉企业仅两家。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主要采购苯乙烯、丁二烯等基础化工原料，供应商未公开。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约200亩（70795.9平方米），拥有1万吨/年HR项目、3万吨/年工程塑料特种新材料项目，综合年产量4万吨/年；两条智能化生产线满负荷单日产能65吨。具备ISO9001、ISO14001、ISO45001认证；关键设备数控化率90%、智能设备联网率89.23%，智能制造能力成熟度三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以直销为主，依托技术口碑与性价比服务国内改性塑料客户，并出口。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2025年营业收入3.12亿元；ABS高胶粉国内市场份额超60%、产销量全国第一；生产效率较改造前提升30%，单位产值综合能耗下降18%。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公司为非上市企业（含A轮融资），未公开披露完整三表。可公开列示：2025年营业收入3.12亿元；参保人数214人（2025年工商年报）；注册资本6846.67万元。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完整盈利指标未公开披露；高市占率与智能化降本（能耗降18%）支撑较好盈利空间。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未公开披露。重资产以智能化产线与厂房为主。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未公开披露。A轮融资补充权益资金。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在国内工程塑料助剂细分领域居龙头（高胶粉份额超60%），高于一般专精特新企业体量；与大型化工新材料上市公司相比规模偏小但细分壁垒突出。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股份公司架构，设董事会，治理规范，引入毅达系机构投资者。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杜如国任法定代表人/董事长；技术总监为行业权威教授黄立本。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通过ISO三体系认证，建有全流程数字孪生智能产线与DCS/SIS/APC控制系统，内控与质量体系完善。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参保214人（2025年），研发与技术人员占比高，累计申请专利50余项、授权40项（发明26项）。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市场壁垒：ABS高胶粉国内份额超60%、产销量第一，双寡头格局。2. 技术与工艺：独家高胶粉制备工艺、全流程智能绿色产线、智能制造三级。3. 资质：国家级专精特新"小巨人"、单项冠军、瞪羚、绿色工厂、高企。4. 知识产权：40项授权专利（发明26项）。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原料价格风险：苯乙烯、丁二烯等油价相关原料波动影响成本。2. 客户集中风险：下游家电/汽车景气波动传导。3. 技术替代风险：需持续研发维持领先。4. 应对措施：技术迭代、绿色智能降本、拓展ASA/MBS等多品类。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公司处于产能释放与技改期，可探索融资租赁（智能设备）、供应链金融（原料采购）、银行授信等。山东投资可依托其小巨人/单项冠军资质提供综合融资支持。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颐工材料是河口区精工石化新材料集群中细分领域绝对龙头，高胶粉国产替代标杆。发展展望：受益家电/汽车轻量化与国产化，需求稳健增长。建议：推动规范化股份制与资本运作、拓展多品类、巩固技术领先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数据来源说明：天眼查、企查查、爱企查工商信息；颐工材料官网eagone.com；智慧河口/鲁网报道（2025—2026）；东营港经济开发区专精特新"小巨人"公示。财务数据为公开报道披露。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