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东营经济技术开发区数字经济软件信息特色产业集群</w:t>
      </w:r>
    </w:p>
    <w:p>
      <w:pPr>
        <w:spacing w:lineRule="exact" w:line="600" w:before="240" w:after="240"/>
        <w:ind w:firstLine="0"/>
        <w:jc w:val="center"/>
      </w:pPr>
      <w:r>
        <w:rPr>
          <w:rFonts w:ascii="方正小标宋简体" w:hAnsi="方正小标宋简体" w:eastAsia="方正小标宋简体"/>
          <w:b w:val="0"/>
          <w:color w:val="000000"/>
          <w:sz w:val="44"/>
        </w:rPr>
        <w:t>山东天元信息科技有限公司企业分析报告</w:t>
      </w:r>
    </w:p>
    <w:p>
      <w:pPr>
        <w:spacing w:lineRule="exact" w:line="600" w:before="0" w:after="0"/>
        <w:jc w:val="left"/>
      </w:pPr>
      <w:r>
        <w:rPr>
          <w:rFonts w:ascii="仿宋_GB2312" w:hAnsi="仿宋_GB2312" w:eastAsia="仿宋_GB2312"/>
          <w:b w:val="0"/>
          <w:color w:val="000000"/>
          <w:sz w:val="28"/>
        </w:rPr>
        <w:t>（本报告依据国家企业信用信息公示系统、公开工商信息及企业公开资料编制，涉及未公开披露事项均如实标注，用于产业集群代表企业分析参考。）</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（一）工商登记信息</w:t>
      </w:r>
    </w:p>
    <w:tbl>
      <w:tblPr>
        <w:tblStyle w:val="TableGrid"/>
        <w:tblW w:type="auto" w:w="0"/>
        <w:jc w:val="center"/>
        <w:tblLook w:firstColumn="1" w:firstRow="1" w:lastColumn="0" w:lastRow="0" w:noHBand="0" w:noVBand="1" w:val="04A0"/>
      </w:tblPr>
      <w:tblGrid>
        <w:gridCol w:w="4422"/>
        <w:gridCol w:w="4422"/>
      </w:tblGrid>
      <w:tr>
        <w:tc>
          <w:tcPr>
            <w:tcW w:type="dxa" w:w="2381"/>
          </w:tcPr>
          <w:p>
            <w:pPr>
              <w:spacing w:lineRule="exact" w:line="600"/>
              <w:jc w:val="center"/>
            </w:pPr>
            <w:r/>
            <w:r>
              <w:rPr>
                <w:rFonts w:ascii="黑体" w:hAnsi="黑体" w:eastAsia="黑体"/>
                <w:b/>
                <w:color w:val="000000"/>
                <w:sz w:val="32"/>
              </w:rPr>
              <w:t>项目</w:t>
            </w:r>
          </w:p>
        </w:tc>
        <w:tc>
          <w:tcPr>
            <w:tcW w:type="dxa" w:w="6463"/>
          </w:tcPr>
          <w:p>
            <w:pPr>
              <w:spacing w:lineRule="exact" w:line="600"/>
              <w:jc w:val="center"/>
            </w:pPr>
            <w:r/>
            <w:r>
              <w:rPr>
                <w:rFonts w:ascii="黑体" w:hAnsi="黑体" w:eastAsia="黑体"/>
                <w:b/>
                <w:color w:val="000000"/>
                <w:sz w:val="32"/>
              </w:rPr>
              <w:t>内容</w:t>
            </w:r>
          </w:p>
        </w:tc>
      </w:tr>
      <w:tr>
        <w:tc>
          <w:tcPr>
            <w:tcW w:type="dxa" w:w="2381"/>
          </w:tcPr>
          <w:p>
            <w:pPr>
              <w:spacing w:lineRule="exact" w:line="600"/>
              <w:jc w:val="center"/>
            </w:pPr>
            <w:r/>
            <w:r>
              <w:rPr>
                <w:rFonts w:ascii="仿宋_GB2312" w:hAnsi="仿宋_GB2312" w:eastAsia="仿宋_GB2312"/>
                <w:b w:val="0"/>
                <w:color w:val="000000"/>
                <w:sz w:val="32"/>
              </w:rPr>
              <w:t>企业名称</w:t>
            </w:r>
          </w:p>
        </w:tc>
        <w:tc>
          <w:tcPr>
            <w:tcW w:type="dxa" w:w="6463"/>
          </w:tcPr>
          <w:p>
            <w:pPr>
              <w:spacing w:lineRule="exact" w:line="600"/>
              <w:jc w:val="center"/>
            </w:pPr>
            <w:r/>
            <w:r>
              <w:rPr>
                <w:rFonts w:ascii="仿宋_GB2312" w:hAnsi="仿宋_GB2312" w:eastAsia="仿宋_GB2312"/>
                <w:b w:val="0"/>
                <w:color w:val="000000"/>
                <w:sz w:val="32"/>
              </w:rPr>
              <w:t>山东天元信息技术集团有限公司</w:t>
            </w:r>
          </w:p>
        </w:tc>
      </w:tr>
      <w:tr>
        <w:tc>
          <w:tcPr>
            <w:tcW w:type="dxa" w:w="2381"/>
          </w:tcPr>
          <w:p>
            <w:pPr>
              <w:spacing w:lineRule="exact" w:line="600"/>
              <w:jc w:val="center"/>
            </w:pPr>
            <w:r/>
            <w:r>
              <w:rPr>
                <w:rFonts w:ascii="仿宋_GB2312" w:hAnsi="仿宋_GB2312" w:eastAsia="仿宋_GB2312"/>
                <w:b w:val="0"/>
                <w:color w:val="000000"/>
                <w:sz w:val="32"/>
              </w:rPr>
              <w:t>经营场所</w:t>
            </w:r>
          </w:p>
        </w:tc>
        <w:tc>
          <w:tcPr>
            <w:tcW w:type="dxa" w:w="6463"/>
          </w:tcPr>
          <w:p>
            <w:pPr>
              <w:spacing w:lineRule="exact" w:line="600"/>
              <w:jc w:val="center"/>
            </w:pPr>
            <w:r/>
            <w:r>
              <w:rPr>
                <w:rFonts w:ascii="仿宋_GB2312" w:hAnsi="仿宋_GB2312" w:eastAsia="仿宋_GB2312"/>
                <w:b w:val="0"/>
                <w:color w:val="000000"/>
                <w:sz w:val="32"/>
              </w:rPr>
              <w:t>东营市东营区南一路228号（东营软件园）</w:t>
            </w:r>
          </w:p>
        </w:tc>
      </w:tr>
      <w:tr>
        <w:tc>
          <w:tcPr>
            <w:tcW w:type="dxa" w:w="2381"/>
          </w:tcPr>
          <w:p>
            <w:pPr>
              <w:spacing w:lineRule="exact" w:line="600"/>
              <w:jc w:val="center"/>
            </w:pPr>
            <w:r/>
            <w:r>
              <w:rPr>
                <w:rFonts w:ascii="仿宋_GB2312" w:hAnsi="仿宋_GB2312" w:eastAsia="仿宋_GB2312"/>
                <w:b w:val="0"/>
                <w:color w:val="000000"/>
                <w:sz w:val="32"/>
              </w:rPr>
              <w:t>所属集群</w:t>
            </w:r>
          </w:p>
        </w:tc>
        <w:tc>
          <w:tcPr>
            <w:tcW w:type="dxa" w:w="6463"/>
          </w:tcPr>
          <w:p>
            <w:pPr>
              <w:spacing w:lineRule="exact" w:line="600"/>
              <w:jc w:val="center"/>
            </w:pPr>
            <w:r/>
            <w:r>
              <w:rPr>
                <w:rFonts w:ascii="仿宋_GB2312" w:hAnsi="仿宋_GB2312" w:eastAsia="仿宋_GB2312"/>
                <w:b w:val="0"/>
                <w:color w:val="000000"/>
                <w:sz w:val="32"/>
              </w:rPr>
              <w:t>东营经济技术开发区数字经济软件信息特色产业集群</w:t>
            </w:r>
          </w:p>
        </w:tc>
      </w:tr>
      <w:tr>
        <w:tc>
          <w:tcPr>
            <w:tcW w:type="dxa" w:w="2381"/>
          </w:tcPr>
          <w:p>
            <w:pPr>
              <w:spacing w:lineRule="exact" w:line="600"/>
              <w:jc w:val="center"/>
            </w:pPr>
            <w:r/>
            <w:r>
              <w:rPr>
                <w:rFonts w:ascii="仿宋_GB2312" w:hAnsi="仿宋_GB2312" w:eastAsia="仿宋_GB2312"/>
                <w:b w:val="0"/>
                <w:color w:val="000000"/>
                <w:sz w:val="32"/>
              </w:rPr>
              <w:t>产业链环节</w:t>
            </w:r>
          </w:p>
        </w:tc>
        <w:tc>
          <w:tcPr>
            <w:tcW w:type="dxa" w:w="6463"/>
          </w:tcPr>
          <w:p>
            <w:pPr>
              <w:spacing w:lineRule="exact" w:line="600"/>
              <w:jc w:val="center"/>
            </w:pPr>
            <w:r/>
            <w:r>
              <w:rPr>
                <w:rFonts w:ascii="仿宋_GB2312" w:hAnsi="仿宋_GB2312" w:eastAsia="仿宋_GB2312"/>
                <w:b w:val="0"/>
                <w:color w:val="000000"/>
                <w:sz w:val="32"/>
              </w:rPr>
              <w:t>地理信息、测绘与空间软件服务</w:t>
            </w:r>
          </w:p>
        </w:tc>
      </w:tr>
      <w:tr>
        <w:tc>
          <w:tcPr>
            <w:tcW w:type="dxa" w:w="2381"/>
          </w:tcPr>
          <w:p>
            <w:pPr>
              <w:spacing w:lineRule="exact" w:line="600"/>
              <w:jc w:val="center"/>
            </w:pPr>
            <w:r/>
            <w:r>
              <w:rPr>
                <w:rFonts w:ascii="仿宋_GB2312" w:hAnsi="仿宋_GB2312" w:eastAsia="仿宋_GB2312"/>
                <w:b w:val="0"/>
                <w:color w:val="000000"/>
                <w:sz w:val="32"/>
              </w:rPr>
              <w:t>主导产品</w:t>
            </w:r>
          </w:p>
        </w:tc>
        <w:tc>
          <w:tcPr>
            <w:tcW w:type="dxa" w:w="6463"/>
          </w:tcPr>
          <w:p>
            <w:pPr>
              <w:spacing w:lineRule="exact" w:line="600"/>
              <w:jc w:val="center"/>
            </w:pPr>
            <w:r/>
            <w:r>
              <w:rPr>
                <w:rFonts w:ascii="仿宋_GB2312" w:hAnsi="仿宋_GB2312" w:eastAsia="仿宋_GB2312"/>
                <w:b w:val="0"/>
                <w:color w:val="000000"/>
                <w:sz w:val="32"/>
              </w:rPr>
              <w:t>工程测量、管线探测、GIS建设、三维建模、软件开发</w:t>
            </w:r>
          </w:p>
        </w:tc>
      </w:tr>
      <w:tr>
        <w:tc>
          <w:tcPr>
            <w:tcW w:type="dxa" w:w="2381"/>
          </w:tcPr>
          <w:p>
            <w:pPr>
              <w:spacing w:lineRule="exact" w:line="600"/>
              <w:jc w:val="center"/>
            </w:pPr>
            <w:r/>
            <w:r>
              <w:rPr>
                <w:rFonts w:ascii="仿宋_GB2312" w:hAnsi="仿宋_GB2312" w:eastAsia="仿宋_GB2312"/>
                <w:b w:val="0"/>
                <w:color w:val="000000"/>
                <w:sz w:val="32"/>
              </w:rPr>
              <w:t>成立时间</w:t>
            </w:r>
          </w:p>
        </w:tc>
        <w:tc>
          <w:tcPr>
            <w:tcW w:type="dxa" w:w="6463"/>
          </w:tcPr>
          <w:p>
            <w:pPr>
              <w:spacing w:lineRule="exact" w:line="600"/>
              <w:jc w:val="center"/>
            </w:pPr>
            <w:r/>
            <w:r>
              <w:rPr>
                <w:rFonts w:ascii="仿宋_GB2312" w:hAnsi="仿宋_GB2312" w:eastAsia="仿宋_GB2312"/>
                <w:b w:val="0"/>
                <w:color w:val="000000"/>
                <w:sz w:val="32"/>
              </w:rPr>
              <w:t>2003年1月8日</w:t>
            </w:r>
          </w:p>
        </w:tc>
      </w:tr>
      <w:tr>
        <w:tc>
          <w:tcPr>
            <w:tcW w:type="dxa" w:w="2381"/>
          </w:tcPr>
          <w:p>
            <w:pPr>
              <w:spacing w:lineRule="exact" w:line="600"/>
              <w:jc w:val="center"/>
            </w:pPr>
            <w:r/>
            <w:r>
              <w:rPr>
                <w:rFonts w:ascii="仿宋_GB2312" w:hAnsi="仿宋_GB2312" w:eastAsia="仿宋_GB2312"/>
                <w:b w:val="0"/>
                <w:color w:val="000000"/>
                <w:sz w:val="32"/>
              </w:rPr>
              <w:t>法定代表人</w:t>
            </w:r>
          </w:p>
        </w:tc>
        <w:tc>
          <w:tcPr>
            <w:tcW w:type="dxa" w:w="6463"/>
          </w:tcPr>
          <w:p>
            <w:pPr>
              <w:spacing w:lineRule="exact" w:line="600"/>
              <w:jc w:val="center"/>
            </w:pPr>
            <w:r/>
            <w:r>
              <w:rPr>
                <w:rFonts w:ascii="仿宋_GB2312" w:hAnsi="仿宋_GB2312" w:eastAsia="仿宋_GB2312"/>
                <w:b w:val="0"/>
                <w:color w:val="000000"/>
                <w:sz w:val="32"/>
              </w:rPr>
              <w:t>赵华超</w:t>
            </w:r>
          </w:p>
        </w:tc>
      </w:tr>
      <w:tr>
        <w:tc>
          <w:tcPr>
            <w:tcW w:type="dxa" w:w="2381"/>
          </w:tcPr>
          <w:p>
            <w:pPr>
              <w:spacing w:lineRule="exact" w:line="600"/>
              <w:jc w:val="center"/>
            </w:pPr>
            <w:r/>
            <w:r>
              <w:rPr>
                <w:rFonts w:ascii="仿宋_GB2312" w:hAnsi="仿宋_GB2312" w:eastAsia="仿宋_GB2312"/>
                <w:b w:val="0"/>
                <w:color w:val="000000"/>
                <w:sz w:val="32"/>
              </w:rPr>
              <w:t>注册资本</w:t>
            </w:r>
          </w:p>
        </w:tc>
        <w:tc>
          <w:tcPr>
            <w:tcW w:type="dxa" w:w="6463"/>
          </w:tcPr>
          <w:p>
            <w:pPr>
              <w:spacing w:lineRule="exact" w:line="600"/>
              <w:jc w:val="center"/>
            </w:pPr>
            <w:r/>
            <w:r>
              <w:rPr>
                <w:rFonts w:ascii="仿宋_GB2312" w:hAnsi="仿宋_GB2312" w:eastAsia="仿宋_GB2312"/>
                <w:b w:val="0"/>
                <w:color w:val="000000"/>
                <w:sz w:val="32"/>
              </w:rPr>
              <w:t>6354.79万元</w:t>
            </w:r>
          </w:p>
        </w:tc>
      </w:tr>
      <w:tr>
        <w:tc>
          <w:tcPr>
            <w:tcW w:type="dxa" w:w="2381"/>
          </w:tcPr>
          <w:p>
            <w:pPr>
              <w:spacing w:lineRule="exact" w:line="600"/>
              <w:jc w:val="center"/>
            </w:pPr>
            <w:r/>
            <w:r>
              <w:rPr>
                <w:rFonts w:ascii="仿宋_GB2312" w:hAnsi="仿宋_GB2312" w:eastAsia="仿宋_GB2312"/>
                <w:b w:val="0"/>
                <w:color w:val="000000"/>
                <w:sz w:val="32"/>
              </w:rPr>
              <w:t>统一社会信用代码</w:t>
            </w:r>
          </w:p>
        </w:tc>
        <w:tc>
          <w:tcPr>
            <w:tcW w:type="dxa" w:w="6463"/>
          </w:tcPr>
          <w:p>
            <w:pPr>
              <w:spacing w:lineRule="exact" w:line="600"/>
              <w:jc w:val="center"/>
            </w:pPr>
            <w:r/>
            <w:r>
              <w:rPr>
                <w:rFonts w:ascii="仿宋_GB2312" w:hAnsi="仿宋_GB2312" w:eastAsia="仿宋_GB2312"/>
                <w:b w:val="0"/>
                <w:color w:val="000000"/>
                <w:sz w:val="32"/>
              </w:rPr>
              <w:t>91370500745698650B</w:t>
            </w:r>
          </w:p>
        </w:tc>
      </w:tr>
      <w:tr>
        <w:tc>
          <w:tcPr>
            <w:tcW w:type="dxa" w:w="2381"/>
          </w:tcPr>
          <w:p>
            <w:pPr>
              <w:spacing w:lineRule="exact" w:line="600"/>
              <w:jc w:val="center"/>
            </w:pPr>
            <w:r/>
            <w:r>
              <w:rPr>
                <w:rFonts w:ascii="仿宋_GB2312" w:hAnsi="仿宋_GB2312" w:eastAsia="仿宋_GB2312"/>
                <w:b w:val="0"/>
                <w:color w:val="000000"/>
                <w:sz w:val="32"/>
              </w:rPr>
              <w:t>资本市场</w:t>
            </w:r>
          </w:p>
        </w:tc>
        <w:tc>
          <w:tcPr>
            <w:tcW w:type="dxa" w:w="6463"/>
          </w:tcPr>
          <w:p>
            <w:pPr>
              <w:spacing w:lineRule="exact" w:line="600"/>
              <w:jc w:val="center"/>
            </w:pPr>
            <w:r/>
            <w:r>
              <w:rPr>
                <w:rFonts w:ascii="仿宋_GB2312" w:hAnsi="仿宋_GB2312" w:eastAsia="仿宋_GB2312"/>
                <w:b w:val="0"/>
                <w:color w:val="000000"/>
                <w:sz w:val="32"/>
              </w:rPr>
              <w:t>曾新三板挂牌（833685，2019年摘牌）</w:t>
            </w:r>
          </w:p>
        </w:tc>
      </w:tr>
    </w:tbl>
    <w:p>
      <w:pPr>
        <w:spacing w:lineRule="exact" w:line="600" w:before="0" w:after="0"/>
        <w:ind w:firstLine="420"/>
        <w:jc w:val="both"/>
      </w:pPr>
      <w:r>
        <w:rPr>
          <w:rFonts w:ascii="仿宋_GB2312" w:hAnsi="仿宋_GB2312" w:eastAsia="仿宋_GB2312"/>
          <w:b w:val="0"/>
          <w:color w:val="000000"/>
          <w:sz w:val="32"/>
        </w:rPr>
        <w:t>山东天元信息技术集团有限公司（曾用名山东天元信息技术股份有限公司）成立于2003年1月8日，注册资本6354.79万元，位于东营市东营区南一路228号软件园，是山东省高新技术企业、双软认证企业，专门从事工程测量、地下管线探测、管道检测、地理信息系统建设、三维建模、软件开发的综合性专业公司，并广泛涉足无人机航测、油田微地震、地质导向服务等领域。公司曾于2015年10月挂牌新三板（833685），2019年摘牌，现为非上市民营企业。</w:t>
      </w:r>
    </w:p>
    <w:p>
      <w:pPr>
        <w:spacing w:lineRule="exact" w:line="600" w:before="0" w:after="0"/>
        <w:ind w:firstLine="420"/>
        <w:jc w:val="both"/>
      </w:pPr>
      <w:r>
        <w:rPr>
          <w:rFonts w:ascii="仿宋_GB2312" w:hAnsi="仿宋_GB2312" w:eastAsia="仿宋_GB2312"/>
          <w:b w:val="0"/>
          <w:color w:val="000000"/>
          <w:sz w:val="32"/>
        </w:rPr>
        <w:t>在工商登记信息方面，公司成立时间2003年1月8日、法定代表人赵华超、注册资本6354.79万元、统一社会信用代码91370500745698650B等已公开（来源：国家企业信用信息公示系统及天眼查等公开渠道），实际开展业务时应以营业执照原件、公司章程、股东名册核验。</w:t>
      </w:r>
    </w:p>
    <w:p>
      <w:pPr>
        <w:spacing w:lineRule="exact" w:line="600" w:before="0" w:after="0"/>
        <w:ind w:firstLine="420"/>
        <w:jc w:val="both"/>
      </w:pPr>
      <w:r>
        <w:rPr>
          <w:rFonts w:ascii="仿宋_GB2312" w:hAnsi="仿宋_GB2312" w:eastAsia="仿宋_GB2312"/>
          <w:b w:val="0"/>
          <w:color w:val="000000"/>
          <w:sz w:val="32"/>
        </w:rPr>
        <w:t>需要说明的是，上述工商登记信息以国家企业信用信息公示系统及公开信息渠道披露内容为准。开展实质性授信或投资尽职调查时，应当以企业提供的营业执照原件、公司章程、股东名册、验资或实缴凭证、不动产权证书及相关行政许可证照为核验依据，并同步核查登记事项的变更记录，重点关注注册资本实缴进度、经营范围中许可类项目的证照有效期、注册地与实际生产经营地是否一致等事项。凡本报告标注为"未公开披露"的项目，均系公开渠道未能获取，不代表企业不存在该等信息，亦不构成对企业相关状况的负面判断。</w:t>
      </w:r>
    </w:p>
    <w:p>
      <w:pPr>
        <w:spacing w:lineRule="exact" w:line="600" w:before="120" w:after="120"/>
        <w:ind w:firstLine="420"/>
        <w:jc w:val="left"/>
      </w:pPr>
      <w:r>
        <w:rPr>
          <w:rFonts w:ascii="楷体_GB2312" w:hAnsi="楷体_GB2312" w:eastAsia="楷体_GB2312"/>
          <w:b w:val="0"/>
          <w:color w:val="000000"/>
          <w:sz w:val="32"/>
        </w:rPr>
        <w:t>（二）股权结构与实际控制人</w:t>
      </w:r>
    </w:p>
    <w:p>
      <w:pPr>
        <w:spacing w:lineRule="exact" w:line="600" w:before="0" w:after="0"/>
        <w:ind w:firstLine="420"/>
        <w:jc w:val="both"/>
      </w:pPr>
      <w:r>
        <w:rPr>
          <w:rFonts w:ascii="仿宋_GB2312" w:hAnsi="仿宋_GB2312" w:eastAsia="仿宋_GB2312"/>
          <w:b w:val="0"/>
          <w:color w:val="000000"/>
          <w:sz w:val="32"/>
        </w:rPr>
        <w:t>据公开信息，天元信息为民营控股企业（企业类型为其他有限责任公司），股权相对集中、决策链条较短。历史上曾为山东华鹏（603021.SH）控股子公司（持股55%），后历经股权转让与摘牌，现为民营控股。</w:t>
      </w:r>
    </w:p>
    <w:p>
      <w:pPr>
        <w:spacing w:lineRule="exact" w:line="600" w:before="0" w:after="0"/>
        <w:ind w:firstLine="420"/>
        <w:jc w:val="both"/>
      </w:pPr>
      <w:r>
        <w:rPr>
          <w:rFonts w:ascii="仿宋_GB2312" w:hAnsi="仿宋_GB2312" w:eastAsia="仿宋_GB2312"/>
          <w:b w:val="0"/>
          <w:color w:val="000000"/>
          <w:sz w:val="32"/>
        </w:rPr>
        <w:t>从出资人属性看，公司系民营企业，股权相对集中、市场反应灵敏，但实际控制人个人风险与企业风险高度绑定。建议在尽职调查中重点核查实际控制人的股权质押、对外担保与个人负债情况，并核实是否存在股权代持、一致行动安排等未披露事项，同时关注核心管理团队的稳定性。</w:t>
      </w:r>
    </w:p>
    <w:p>
      <w:pPr>
        <w:spacing w:lineRule="exact" w:line="600" w:before="0" w:after="0"/>
        <w:ind w:firstLine="420"/>
        <w:jc w:val="both"/>
      </w:pPr>
      <w:r>
        <w:rPr>
          <w:rFonts w:ascii="仿宋_GB2312" w:hAnsi="仿宋_GB2312" w:eastAsia="仿宋_GB2312"/>
          <w:b w:val="0"/>
          <w:color w:val="000000"/>
          <w:sz w:val="32"/>
        </w:rPr>
        <w:t>从出资人属性看，天元信息为民营企业，股权相对集中、决策链条较短、市场反应灵敏是其突出优点，同时也带来实际控制人个人风险与企业风险高度绑定的问题。建议在尽职调查中重点核查实际控制人及其一致行动人的股权质押情况、对外担保与个人负债情况、关联企业占用资金情况，并核实是否存在股权代持、抽屉协议、一致行动安排等未披露事项。对家族式治理特征明显的企业，还应关注核心管理团队的稳定性与接续安排。</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天元信息的发展与东营及全国地理信息产业崛起深度绑定。公司成立于2003年，是山东省高新技术企业、双软认证企业，2006年自主研发GPS-GPRS-RTK测绘设备获国家创新基金支持，2007年油田地理信息系统发明专利申请成功，2008-2009年为国家火炬计划立项扶持企业，2011年成为山东省高新技术企业，2015年挂牌新三板（833685），2018年成功申请甲级测绘资质，并布局全国在南京、武汉、成都、西安、新疆、大庆等地设立12家分子公司与办事处。</w:t>
      </w:r>
    </w:p>
    <w:p>
      <w:pPr>
        <w:spacing w:lineRule="exact" w:line="600" w:before="0" w:after="0"/>
        <w:ind w:firstLine="420"/>
        <w:jc w:val="both"/>
      </w:pPr>
      <w:r>
        <w:rPr>
          <w:rFonts w:ascii="仿宋_GB2312" w:hAnsi="仿宋_GB2312" w:eastAsia="仿宋_GB2312"/>
          <w:b w:val="0"/>
          <w:color w:val="000000"/>
          <w:sz w:val="32"/>
        </w:rPr>
        <w:t>在业绩端，公司曾于山东华鹏并表期间披露财务：2021年营业收入2.58亿元、净利润2167万元；2022年1-10月营业收入1.72亿元、净利润-3758万元（为当时并表数据，非当前口径）。摘牌后具体经营规模未公开披露。</w:t>
      </w:r>
    </w:p>
    <w:p>
      <w:pPr>
        <w:spacing w:lineRule="exact" w:line="600" w:before="0" w:after="0"/>
        <w:ind w:firstLine="420"/>
        <w:jc w:val="both"/>
      </w:pPr>
      <w:r>
        <w:rPr>
          <w:rFonts w:ascii="仿宋_GB2312" w:hAnsi="仿宋_GB2312" w:eastAsia="仿宋_GB2312"/>
          <w:b w:val="0"/>
          <w:color w:val="000000"/>
          <w:sz w:val="32"/>
        </w:rPr>
        <w:t>总体看，天元信息的发展轨迹与软件与信息技术服务行业演进和东营经济技术开发区数字经济软件信息特色产业集群的成长过程高度耦合。企业在不同阶段的关键跃升，一般由三类因素共同驱动：一是产品与工艺技术的迭代，使其突破产能与品质天花板；二是重大客户或重大项目的获取，带来规模效应和现金流改善；三是园区（集群）基础设施、要素保障与政策支持的外部赋能。梳理沿革的意义在于判断企业成长的可持续性——若历史增长主要依赖单一客户、单一政策或一次性资源禀赋，其未来增长的稳健性需要打折；若增长源于持续的技术积累与客户结构优化，则更具韧性。</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从产业链定位看，公司处于地理信息、测绘与空间软件服务环节，拥有甲级测绘资质（2018年），业务涵盖工程测量、地下管线探测、管道检测、GIS建设、三维建模与软件开发，并布局无人机航测、油田微地震、地质导向等油田技术服务，在全国设有12家分子公司与办事处。</w:t>
      </w:r>
    </w:p>
    <w:p>
      <w:pPr>
        <w:spacing w:lineRule="exact" w:line="600" w:before="0" w:after="0"/>
        <w:ind w:firstLine="420"/>
        <w:jc w:val="both"/>
      </w:pPr>
      <w:r>
        <w:rPr>
          <w:rFonts w:ascii="仿宋_GB2312" w:hAnsi="仿宋_GB2312" w:eastAsia="仿宋_GB2312"/>
          <w:b w:val="0"/>
          <w:color w:val="000000"/>
          <w:sz w:val="32"/>
        </w:rPr>
        <w:t>上述资质与布局数据来自企业与公开资料，建议通过招投标与项目合同情况交叉验证其市场覆盖。</w:t>
      </w:r>
    </w:p>
    <w:p>
      <w:pPr>
        <w:spacing w:lineRule="exact" w:line="600" w:before="0" w:after="0"/>
        <w:ind w:firstLine="420"/>
        <w:jc w:val="both"/>
      </w:pPr>
      <w:r>
        <w:rPr>
          <w:rFonts w:ascii="仿宋_GB2312" w:hAnsi="仿宋_GB2312" w:eastAsia="仿宋_GB2312"/>
          <w:b w:val="0"/>
          <w:color w:val="000000"/>
          <w:sz w:val="32"/>
        </w:rPr>
        <w:t>在东营经济技术开发区数字经济软件信息特色产业集群的产业链分工中，天元信息处于"地理信息与测绘软件服务"环节，其战略价值不仅体现为自身的产值与税收贡献，更体现为对上下游的带动与配套能力。产业集群竞争力的核心在于链条完整度与协同效率，处于关键环节的企业一旦形成稳定供给能力，可显著降低集群内企业的采购半径、库存水平与物流成本，进而提升整个集群的成本竞争力。因此，对该类企业的支持具有超出单体的外部效应，这也是产业金融在集群场景下开展批量化、场景化服务的基本逻辑。</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（一）业务与产品结构</w:t>
      </w:r>
    </w:p>
    <w:p>
      <w:pPr>
        <w:spacing w:lineRule="exact" w:line="600" w:before="0" w:after="0"/>
        <w:ind w:firstLine="420"/>
        <w:jc w:val="both"/>
      </w:pPr>
      <w:r>
        <w:rPr>
          <w:rFonts w:ascii="仿宋_GB2312" w:hAnsi="仿宋_GB2312" w:eastAsia="仿宋_GB2312"/>
          <w:b w:val="0"/>
          <w:color w:val="000000"/>
          <w:sz w:val="32"/>
        </w:rPr>
        <w:t>公司业务以工程测量、地下管线探测、管道检测、地理信息系统建设、三维建模、软件开发为核心，并广泛涉足无人机研发与航测技术服务、油田微地震服务、地质导向服务等领域，是一家集科研开发、生产经营及技术咨询服务于一体的综合性高科技企业。</w:t>
      </w:r>
    </w:p>
    <w:p>
      <w:pPr>
        <w:spacing w:lineRule="exact" w:line="600" w:before="0" w:after="0"/>
        <w:ind w:firstLine="420"/>
        <w:jc w:val="both"/>
      </w:pPr>
      <w:r>
        <w:rPr>
          <w:rFonts w:ascii="仿宋_GB2312" w:hAnsi="仿宋_GB2312" w:eastAsia="仿宋_GB2312"/>
          <w:b w:val="0"/>
          <w:color w:val="000000"/>
          <w:sz w:val="32"/>
        </w:rPr>
        <w:t>各产品线的销量、单价与毛利率数据未逐项公开，建议在尽调中重点获取分业务财务序列与项目毛利率。</w:t>
      </w:r>
    </w:p>
    <w:p>
      <w:pPr>
        <w:spacing w:lineRule="exact" w:line="600" w:before="0" w:after="0"/>
        <w:ind w:firstLine="420"/>
        <w:jc w:val="both"/>
      </w:pPr>
      <w:r>
        <w:rPr>
          <w:rFonts w:ascii="仿宋_GB2312" w:hAnsi="仿宋_GB2312" w:eastAsia="仿宋_GB2312"/>
          <w:b w:val="0"/>
          <w:color w:val="000000"/>
          <w:sz w:val="32"/>
        </w:rPr>
        <w:t>从业务结构的稳健性看，评价天元信息需要关注三个维度：一是收入集中度，即前若干产品或业务贡献收入的比例，集中度过高意味着单一品类波动会直接冲击整体业绩；二是产品梯次，即是否形成"现金牛产品—成长产品—储备产品"的接续结构，避免出现主导产品进入衰退期而后续无接替品种的断档；三是附加值分布，即高毛利品种在收入与毛利中的占比，决定企业穿越价格周期的能力。建议在后续尽调中获取企业分产品的销量、单价、毛利率三年序列数据，以判断上述结构性特征。</w:t>
      </w:r>
    </w:p>
    <w:p>
      <w:pPr>
        <w:spacing w:lineRule="exact" w:line="600" w:before="120" w:after="120"/>
        <w:ind w:firstLine="420"/>
        <w:jc w:val="left"/>
      </w:pPr>
      <w:r>
        <w:rPr>
          <w:rFonts w:ascii="楷体_GB2312" w:hAnsi="楷体_GB2312" w:eastAsia="楷体_GB2312"/>
          <w:b w:val="0"/>
          <w:color w:val="000000"/>
          <w:sz w:val="32"/>
        </w:rPr>
        <w:t>（二）产能布局与资质许可</w:t>
      </w:r>
    </w:p>
    <w:p>
      <w:pPr>
        <w:spacing w:lineRule="exact" w:line="600" w:before="0" w:after="0"/>
        <w:ind w:firstLine="420"/>
        <w:jc w:val="both"/>
      </w:pPr>
      <w:r>
        <w:rPr>
          <w:rFonts w:ascii="仿宋_GB2312" w:hAnsi="仿宋_GB2312" w:eastAsia="仿宋_GB2312"/>
          <w:b w:val="0"/>
          <w:color w:val="000000"/>
          <w:sz w:val="32"/>
        </w:rPr>
        <w:t>公司产能布局以全国12家分子公司与办事处为支撑，资质密集特征明显：拥有甲级测绘资质（2018年）、双软认证、ISO9001体系认证，并多次列入国家火炬计划软件产业基地骨干企业、中国地理信息产业最具活力企业。</w:t>
      </w:r>
    </w:p>
    <w:p>
      <w:pPr>
        <w:spacing w:lineRule="exact" w:line="600" w:before="0" w:after="0"/>
        <w:ind w:firstLine="420"/>
        <w:jc w:val="both"/>
      </w:pPr>
      <w:r>
        <w:rPr>
          <w:rFonts w:ascii="仿宋_GB2312" w:hAnsi="仿宋_GB2312" w:eastAsia="仿宋_GB2312"/>
          <w:b w:val="0"/>
          <w:color w:val="000000"/>
          <w:sz w:val="32"/>
        </w:rPr>
        <w:t>资质方面，公司须取得测绘资质、涉密资质及ISO等体系认证。具体资质等级与有效期未公开披露，建议逐项核查。</w:t>
      </w:r>
    </w:p>
    <w:p>
      <w:pPr>
        <w:spacing w:lineRule="exact" w:line="600" w:before="0" w:after="0"/>
        <w:ind w:firstLine="420"/>
        <w:jc w:val="both"/>
      </w:pPr>
      <w:r>
        <w:rPr>
          <w:rFonts w:ascii="仿宋_GB2312" w:hAnsi="仿宋_GB2312" w:eastAsia="仿宋_GB2312"/>
          <w:b w:val="0"/>
          <w:color w:val="000000"/>
          <w:sz w:val="32"/>
        </w:rPr>
        <w:t>软件与信息技术服务企业的"产能"主要表现为可交付的研发与实施人力规模、产品化程度以及平台承载能力。产品化率越高，单位人力可支撑的收入规模越大、毛利率越稳定；反之，若收入高度依赖定制开发与现场实施，人力成本刚性将压制利润弹性。资质方面，软件著作权、CMMI能力成熟度、ISO27001信息安全管理、等级保护测评、涉密信息系统集成资质以及行业主管单位的入围资格，共同构成投标与承接项目的必要条件。</w:t>
      </w:r>
    </w:p>
    <w:p>
      <w:pPr>
        <w:spacing w:lineRule="exact" w:line="600" w:before="120" w:after="120"/>
        <w:ind w:firstLine="420"/>
        <w:jc w:val="left"/>
      </w:pPr>
      <w:r>
        <w:rPr>
          <w:rFonts w:ascii="楷体_GB2312" w:hAnsi="楷体_GB2312" w:eastAsia="楷体_GB2312"/>
          <w:b w:val="0"/>
          <w:color w:val="000000"/>
          <w:sz w:val="32"/>
        </w:rPr>
        <w:t>（三）客户结构与销售模式</w:t>
      </w:r>
    </w:p>
    <w:p>
      <w:pPr>
        <w:spacing w:lineRule="exact" w:line="600" w:before="0" w:after="0"/>
        <w:ind w:firstLine="420"/>
        <w:jc w:val="both"/>
      </w:pPr>
      <w:r>
        <w:rPr>
          <w:rFonts w:ascii="仿宋_GB2312" w:hAnsi="仿宋_GB2312" w:eastAsia="仿宋_GB2312"/>
          <w:b w:val="0"/>
          <w:color w:val="000000"/>
          <w:sz w:val="32"/>
        </w:rPr>
        <w:t>公司客户为政府（自然资源、住建、城管）、油田及大型工程企业，客户信用等级较高但项目结算受预算与验收周期影响、账期较长。</w:t>
      </w:r>
    </w:p>
    <w:p>
      <w:pPr>
        <w:spacing w:lineRule="exact" w:line="600" w:before="0" w:after="0"/>
        <w:ind w:firstLine="420"/>
        <w:jc w:val="both"/>
      </w:pPr>
      <w:r>
        <w:rPr>
          <w:rFonts w:ascii="仿宋_GB2312" w:hAnsi="仿宋_GB2312" w:eastAsia="仿宋_GB2312"/>
          <w:b w:val="0"/>
          <w:color w:val="000000"/>
          <w:sz w:val="32"/>
        </w:rPr>
        <w:t>公司前五大客户名称、销售金额、账期及应收账款账龄结构未公开披露。建议重点关注客户集中度与回款质量。</w:t>
      </w:r>
    </w:p>
    <w:p>
      <w:pPr>
        <w:spacing w:lineRule="exact" w:line="600" w:before="0" w:after="0"/>
        <w:ind w:firstLine="420"/>
        <w:jc w:val="both"/>
      </w:pPr>
      <w:r>
        <w:rPr>
          <w:rFonts w:ascii="仿宋_GB2312" w:hAnsi="仿宋_GB2312" w:eastAsia="仿宋_GB2312"/>
          <w:b w:val="0"/>
          <w:color w:val="000000"/>
          <w:sz w:val="32"/>
        </w:rPr>
        <w:t>客户结构是判断天元信息经营质量与应收账款风险的核心变量。一般而言，客户结构可分为三类：一是以大型央国企、上市公司为主的客户群，其信用等级高、回款相对确定，但账期长、议价能力强，易形成应收账款与票据的规模沉淀；二是以经销商、贸易商为主的客户群，回款速度快、多采用预收或现款现货，但需承担渠道库存波动与串货风险；三是以中小终端客户为主的客户群，单笔金额小、数量分散，信用风险分散但管理成本高。建议获取企业前五大及前十大客户名单、销售额、账期与近三年回款记录，并结合应收账款账龄结构交叉验证。</w:t>
      </w:r>
    </w:p>
    <w:p>
      <w:pPr>
        <w:spacing w:lineRule="exact" w:line="600" w:before="120" w:after="120"/>
        <w:ind w:firstLine="420"/>
        <w:jc w:val="left"/>
      </w:pPr>
      <w:r>
        <w:rPr>
          <w:rFonts w:ascii="楷体_GB2312" w:hAnsi="楷体_GB2312" w:eastAsia="楷体_GB2312"/>
          <w:b w:val="0"/>
          <w:color w:val="000000"/>
          <w:sz w:val="32"/>
        </w:rPr>
        <w:t>（四）供应链与采购管理</w:t>
      </w:r>
    </w:p>
    <w:p>
      <w:pPr>
        <w:spacing w:lineRule="exact" w:line="600" w:before="0" w:after="0"/>
        <w:ind w:firstLine="420"/>
        <w:jc w:val="both"/>
      </w:pPr>
      <w:r>
        <w:rPr>
          <w:rFonts w:ascii="仿宋_GB2312" w:hAnsi="仿宋_GB2312" w:eastAsia="仿宋_GB2312"/>
          <w:b w:val="0"/>
          <w:color w:val="000000"/>
          <w:sz w:val="32"/>
        </w:rPr>
        <w:t>公司主要采购为测绘设备、云算力与外包服务，供应相对分散、市场化程度高。</w:t>
      </w:r>
    </w:p>
    <w:p>
      <w:pPr>
        <w:spacing w:lineRule="exact" w:line="600" w:before="0" w:after="0"/>
        <w:ind w:firstLine="420"/>
        <w:jc w:val="both"/>
      </w:pPr>
      <w:r>
        <w:rPr>
          <w:rFonts w:ascii="仿宋_GB2312" w:hAnsi="仿宋_GB2312" w:eastAsia="仿宋_GB2312"/>
          <w:b w:val="0"/>
          <w:color w:val="000000"/>
          <w:sz w:val="32"/>
        </w:rPr>
        <w:t>主要供应商名单、采购集中度与库存周转未公开披露。建议核查关键设备与算力供应安全。</w:t>
      </w:r>
    </w:p>
    <w:p>
      <w:pPr>
        <w:spacing w:lineRule="exact" w:line="600" w:before="0" w:after="0"/>
        <w:ind w:firstLine="420"/>
        <w:jc w:val="both"/>
      </w:pPr>
      <w:r>
        <w:rPr>
          <w:rFonts w:ascii="仿宋_GB2312" w:hAnsi="仿宋_GB2312" w:eastAsia="仿宋_GB2312"/>
          <w:b w:val="0"/>
          <w:color w:val="000000"/>
          <w:sz w:val="32"/>
        </w:rPr>
        <w:t>软件企业的"采购"主要包括第三方基础软件授权、云资源、硬件集成设备及外协开发服务。硬件集成占比高的项目毛利率明显低于纯软件项目，且会放大垫资规模；外协开发有助于应对交付高峰，但需防范代码质量、知识产权归属与信息安全风险。建议核查外协比例、主要外协单位资质、知识产权归属约定以及基础软件授权的合规性。</w:t>
      </w:r>
    </w:p>
    <w:p>
      <w:pPr>
        <w:spacing w:lineRule="exact" w:line="600" w:before="120" w:after="120"/>
        <w:ind w:firstLine="420"/>
        <w:jc w:val="left"/>
      </w:pPr>
      <w:r>
        <w:rPr>
          <w:rFonts w:ascii="楷体_GB2312" w:hAnsi="楷体_GB2312" w:eastAsia="楷体_GB2312"/>
          <w:b w:val="0"/>
          <w:color w:val="000000"/>
          <w:sz w:val="32"/>
        </w:rPr>
        <w:t>（五）市场地位与竞争格局</w:t>
      </w:r>
    </w:p>
    <w:p>
      <w:pPr>
        <w:spacing w:lineRule="exact" w:line="600" w:before="0" w:after="0"/>
        <w:ind w:firstLine="420"/>
        <w:jc w:val="both"/>
      </w:pPr>
      <w:r>
        <w:rPr>
          <w:rFonts w:ascii="仿宋_GB2312" w:hAnsi="仿宋_GB2312" w:eastAsia="仿宋_GB2312"/>
          <w:b w:val="0"/>
          <w:color w:val="000000"/>
          <w:sz w:val="32"/>
        </w:rPr>
        <w:t>据公开数据，东营经开区2024年数字经济核心产业增加值增速148%、入驻数字企业648家、首版次软件产品累计42件。天元信息为其中地理信息与测绘软件的骨干企业，拥有甲级测绘资质与12家全国布局。</w:t>
      </w:r>
    </w:p>
    <w:p>
      <w:pPr>
        <w:spacing w:lineRule="exact" w:line="600" w:before="0" w:after="0"/>
        <w:ind w:firstLine="420"/>
        <w:jc w:val="both"/>
      </w:pPr>
      <w:r>
        <w:rPr>
          <w:rFonts w:ascii="仿宋_GB2312" w:hAnsi="仿宋_GB2312" w:eastAsia="仿宋_GB2312"/>
          <w:b w:val="0"/>
          <w:color w:val="000000"/>
          <w:sz w:val="32"/>
        </w:rPr>
        <w:t>竞争格局方面，地理信息产业参与者众多，天元信息需在技术资质与全国布局上构筑优势。建议企业以甲级资质与油田特色服务立足。</w:t>
      </w:r>
    </w:p>
    <w:p>
      <w:pPr>
        <w:spacing w:lineRule="exact" w:line="600" w:before="0" w:after="0"/>
        <w:ind w:firstLine="420"/>
        <w:jc w:val="both"/>
      </w:pPr>
      <w:r>
        <w:rPr>
          <w:rFonts w:ascii="仿宋_GB2312" w:hAnsi="仿宋_GB2312" w:eastAsia="仿宋_GB2312"/>
          <w:b w:val="0"/>
          <w:color w:val="000000"/>
          <w:sz w:val="32"/>
        </w:rPr>
        <w:t>判断天元信息市场地位的可靠方法是"三重交叉验证"：一是产量或销量口径的份额，来源于行业协会统计年报或权威咨询机构数据；二是客户口径的份额，即在核心客户采购总量中的占比及供应商分级评价结果；三是价格口径的验证，即企业产品价格相对行业均价的溢价或折价水平，溢价能力是市场地位最真实的体现。凡仅有企业自述而缺乏第三方口径支撑的份额数据，在授信决策中应审慎使用。</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jc w:val="left"/>
      </w:pPr>
      <w:r>
        <w:rPr>
          <w:rFonts w:ascii="仿宋_GB2312" w:hAnsi="仿宋_GB2312" w:eastAsia="仿宋_GB2312"/>
          <w:b w:val="0"/>
          <w:color w:val="000000"/>
          <w:sz w:val="28"/>
        </w:rPr>
        <w:t>说明：截至本报告编制时，该企业财务数据未公开披露。本部分不列示未经核实的财务数字，仅就可获取的经营规模类替代指标进行分析，并提出财务尽职调查要点。</w:t>
      </w:r>
    </w:p>
    <w:p>
      <w:pPr>
        <w:spacing w:lineRule="exact" w:line="600" w:before="0" w:after="0"/>
        <w:ind w:firstLine="420"/>
        <w:jc w:val="both"/>
      </w:pPr>
      <w:r>
        <w:rPr>
          <w:rFonts w:ascii="仿宋_GB2312" w:hAnsi="仿宋_GB2312" w:eastAsia="仿宋_GB2312"/>
          <w:b w:val="0"/>
          <w:color w:val="000000"/>
          <w:sz w:val="32"/>
        </w:rPr>
        <w:t>公司为非上市企业（曾新三板挂牌833685，2019年摘牌），其当前资产负债表、利润表、现金流量表及审计报告未在公开渠道披露，财务数据未公开披露。可获取的替代指标为：成立于2003年、注册资本6354.79万元、甲级测绘资质、山东省高新技术企业、双软认证、全国12家分子公司与办事处、业务覆盖工程测量/管线探测/GIS/三维建模/软件开发；历史并表期间（2021年）营收2.58亿元、净利润2167万元。</w:t>
      </w:r>
    </w:p>
    <w:p>
      <w:pPr>
        <w:spacing w:lineRule="exact" w:line="600" w:before="0" w:after="0"/>
        <w:ind w:firstLine="420"/>
        <w:jc w:val="both"/>
      </w:pPr>
      <w:r>
        <w:rPr>
          <w:rFonts w:ascii="仿宋_GB2312" w:hAnsi="仿宋_GB2312" w:eastAsia="仿宋_GB2312"/>
          <w:b w:val="0"/>
          <w:color w:val="000000"/>
          <w:sz w:val="32"/>
        </w:rPr>
        <w:t>依据上述替代指标可作初步判断：一是公司经营历史长、资质完备、全国布局扎实；二是轻资产、知识密集特征明显；三是具体经营规模与盈利需以企业一手财务资料为准。</w:t>
      </w:r>
    </w:p>
    <w:p>
      <w:pPr>
        <w:spacing w:lineRule="exact" w:line="600" w:before="0" w:after="0"/>
        <w:ind w:firstLine="420"/>
        <w:jc w:val="both"/>
      </w:pPr>
      <w:r>
        <w:rPr>
          <w:rFonts w:ascii="仿宋_GB2312" w:hAnsi="仿宋_GB2312" w:eastAsia="仿宋_GB2312"/>
          <w:b w:val="0"/>
          <w:color w:val="000000"/>
          <w:sz w:val="32"/>
        </w:rPr>
        <w:t>天元信息为非上市且未发行公开债券的企业，依法无强制信息披露义务，其资产负债表、利润表、现金流量表及审计报告未在公开渠道披露。按照数据真实性原则，本报告不对其营业收入、净利润、资产负债率、经营性现金流等指标进行推测或估算。在实际业务中，应通过企业直接提供的近三年审计报告（含附注）、纳税申报表、银行流水、增值税发票数据、征信报告等一手资料，完成财务分析与交叉验证。</w:t>
      </w:r>
    </w:p>
    <w:p>
      <w:pPr>
        <w:spacing w:lineRule="exact" w:line="600" w:before="0" w:after="0"/>
        <w:ind w:firstLine="420"/>
        <w:jc w:val="both"/>
      </w:pPr>
      <w:r>
        <w:rPr>
          <w:rFonts w:ascii="仿宋_GB2312" w:hAnsi="仿宋_GB2312" w:eastAsia="仿宋_GB2312"/>
          <w:b w:val="0"/>
          <w:color w:val="000000"/>
          <w:sz w:val="32"/>
        </w:rPr>
        <w:t>在缺少完整报表的情况下，可依托以下替代指标形成初步判断：一是产能与产量数据，结合行业公开价格测算收入量级；二是社保参保人数与人均产值，判断劳动生产率与人力成本压力；三是用电量、蒸汽用量等能耗数据，反映实际开工负荷；四是纳税与利税信息，反映盈利与贡献水平；五是不动产权属、设备台套数与固定资产投资规模，反映资产实力；六是征信记录中的融资余额、担保情况与逾期记录，反映债务负担与信用历史。上述替代指标虽不能取代报表，但可为判断企业真实经营状况提供有效印证。</w:t>
      </w:r>
    </w:p>
    <w:p>
      <w:pPr>
        <w:spacing w:lineRule="exact" w:line="600" w:before="120" w:after="120"/>
        <w:ind w:firstLine="420"/>
        <w:jc w:val="left"/>
      </w:pPr>
      <w:r>
        <w:rPr>
          <w:rFonts w:ascii="楷体_GB2312" w:hAnsi="楷体_GB2312" w:eastAsia="楷体_GB2312"/>
          <w:b w:val="0"/>
          <w:color w:val="000000"/>
          <w:sz w:val="32"/>
        </w:rPr>
        <w:t>（二）盈利能力分析</w:t>
      </w:r>
    </w:p>
    <w:p>
      <w:pPr>
        <w:spacing w:lineRule="exact" w:line="600" w:before="0" w:after="0"/>
        <w:ind w:firstLine="420"/>
        <w:jc w:val="both"/>
      </w:pPr>
      <w:r>
        <w:rPr>
          <w:rFonts w:ascii="仿宋_GB2312" w:hAnsi="仿宋_GB2312" w:eastAsia="仿宋_GB2312"/>
          <w:b w:val="0"/>
          <w:color w:val="000000"/>
          <w:sz w:val="32"/>
        </w:rPr>
        <w:t>公司具体盈利水平未公开披露。从行业规律看，测绘与GIS企业的毛利率取决于项目类型（数据生产 vs 软件平台）与技术含量。天元信息甲级资质与软件能力有助于维持较好毛利。</w:t>
      </w:r>
    </w:p>
    <w:p>
      <w:pPr>
        <w:spacing w:lineRule="exact" w:line="600" w:before="0" w:after="0"/>
        <w:ind w:firstLine="420"/>
        <w:jc w:val="both"/>
      </w:pPr>
      <w:r>
        <w:rPr>
          <w:rFonts w:ascii="仿宋_GB2312" w:hAnsi="仿宋_GB2312" w:eastAsia="仿宋_GB2312"/>
          <w:b w:val="0"/>
          <w:color w:val="000000"/>
          <w:sz w:val="32"/>
        </w:rPr>
        <w:t>软件与信息服务企业的盈利能力高度依赖产品化率与项目管理水平。同一收入规模下，标准化产品与平台订阅收入的毛利率可达六成以上，而以硬件集成、现场实施为主的项目毛利率往往仅两三成。此外，人力成本是最大的刚性支出，收入增速一旦低于人员扩张速度，利润即被迅速摊薄；研发投入的资本化与费用化政策差异，也会显著影响利润表现。建议重点分析天元信息的人均创收、项目毛利分布与研发投入结构。</w:t>
      </w:r>
    </w:p>
    <w:p>
      <w:pPr>
        <w:spacing w:lineRule="exact" w:line="600" w:before="120" w:after="120"/>
        <w:ind w:firstLine="420"/>
        <w:jc w:val="left"/>
      </w:pPr>
      <w:r>
        <w:rPr>
          <w:rFonts w:ascii="楷体_GB2312" w:hAnsi="楷体_GB2312" w:eastAsia="楷体_GB2312"/>
          <w:b w:val="0"/>
          <w:color w:val="000000"/>
          <w:sz w:val="32"/>
        </w:rPr>
        <w:t>（三）资产质量与运营效率</w:t>
      </w:r>
    </w:p>
    <w:p>
      <w:pPr>
        <w:spacing w:lineRule="exact" w:line="600" w:before="0" w:after="0"/>
        <w:ind w:firstLine="420"/>
        <w:jc w:val="both"/>
      </w:pPr>
      <w:r>
        <w:rPr>
          <w:rFonts w:ascii="仿宋_GB2312" w:hAnsi="仿宋_GB2312" w:eastAsia="仿宋_GB2312"/>
          <w:b w:val="0"/>
          <w:color w:val="000000"/>
          <w:sz w:val="32"/>
        </w:rPr>
        <w:t>公司资产结构未公开披露。软件与测绘企业资产以货币资金、应收账款（项目账期较长）及无形资产（软著、专利、测绘数据）为主。建议核查应收账款账龄与存货（合同履约成本）。</w:t>
      </w:r>
    </w:p>
    <w:p>
      <w:pPr>
        <w:spacing w:lineRule="exact" w:line="600" w:before="0" w:after="0"/>
        <w:ind w:firstLine="420"/>
        <w:jc w:val="both"/>
      </w:pPr>
      <w:r>
        <w:rPr>
          <w:rFonts w:ascii="仿宋_GB2312" w:hAnsi="仿宋_GB2312" w:eastAsia="仿宋_GB2312"/>
          <w:b w:val="0"/>
          <w:color w:val="000000"/>
          <w:sz w:val="32"/>
        </w:rPr>
        <w:t>资产质量分析应聚焦四类科目：一是应收账款与应收票据，关注账龄结构、坏账计提政策与集中度，特别警惕长账龄款项长期挂账不予核销的情形；二是存货，关注原材料、在产品、库存商品的构成与周转天数，判断是否存在滞销与跌价压力；三是固定资产与在建工程，关注在建工程转固的及时性，长期挂账的在建工程可能隐藏减值或资本化利息问题；四是其他应收款与预付款项，关注是否存在关联方资金占用。运营效率方面，应计算存货周转天数、应收账款周转天数与应付账款周转天数，进而得出现金转换周期，该指标直接决定营运资金需求规模，也是设计供应链金融方案的量化基础。</w:t>
      </w:r>
    </w:p>
    <w:p>
      <w:pPr>
        <w:spacing w:lineRule="exact" w:line="600" w:before="120" w:after="120"/>
        <w:ind w:firstLine="420"/>
        <w:jc w:val="left"/>
      </w:pPr>
      <w:r>
        <w:rPr>
          <w:rFonts w:ascii="楷体_GB2312" w:hAnsi="楷体_GB2312" w:eastAsia="楷体_GB2312"/>
          <w:b w:val="0"/>
          <w:color w:val="000000"/>
          <w:sz w:val="32"/>
        </w:rPr>
        <w:t>（四）负债结构与偿债能力</w:t>
      </w:r>
    </w:p>
    <w:p>
      <w:pPr>
        <w:spacing w:lineRule="exact" w:line="600" w:before="0" w:after="0"/>
        <w:ind w:firstLine="420"/>
        <w:jc w:val="both"/>
      </w:pPr>
      <w:r>
        <w:rPr>
          <w:rFonts w:ascii="仿宋_GB2312" w:hAnsi="仿宋_GB2312" w:eastAsia="仿宋_GB2312"/>
          <w:b w:val="0"/>
          <w:color w:val="000000"/>
          <w:sz w:val="32"/>
        </w:rPr>
        <w:t>公司负债结构未公开披露。作为成长期企业，其融资可能以银行流动资金贷款与股东借款为主。建议核查授信品种、期限结构、抵质押安排及关联方资金占用。</w:t>
      </w:r>
    </w:p>
    <w:p>
      <w:pPr>
        <w:spacing w:lineRule="exact" w:line="600" w:before="0" w:after="0"/>
        <w:ind w:firstLine="420"/>
        <w:jc w:val="both"/>
      </w:pPr>
      <w:r>
        <w:rPr>
          <w:rFonts w:ascii="仿宋_GB2312" w:hAnsi="仿宋_GB2312" w:eastAsia="仿宋_GB2312"/>
          <w:b w:val="0"/>
          <w:color w:val="000000"/>
          <w:sz w:val="32"/>
        </w:rPr>
        <w:t>负债分析需区分有息债务与经营性负债。经营性负债（应付账款、应付票据、预收款项）本质上是上下游提供的无息资金，占比高往往体现企业的产业链话语权；有息债务则直接形成财务费用与刚性偿付压力。评价天元信息偿债能力应关注：一是资产负债率与净负债率水平，及其与同行业中位数的比较；二是有息债务的期限结构，短期借款占比过高会造成"短贷长投"的期限错配，在信贷收缩期极易引发流动性危机；三是利息保障倍数，即息税前利润对利息支出的覆盖程度；四是对外担保与或有负债，包括互保、连环保、票据贴现追索等表外风险；五是受限资产比例，抵质押率过高将削弱新增融资空间与风险缓释能力。</w:t>
      </w:r>
    </w:p>
    <w:p>
      <w:pPr>
        <w:spacing w:lineRule="exact" w:line="600" w:before="120" w:after="120"/>
        <w:ind w:firstLine="420"/>
        <w:jc w:val="left"/>
      </w:pPr>
      <w:r>
        <w:rPr>
          <w:rFonts w:ascii="楷体_GB2312" w:hAnsi="楷体_GB2312" w:eastAsia="楷体_GB2312"/>
          <w:b w:val="0"/>
          <w:color w:val="000000"/>
          <w:sz w:val="32"/>
        </w:rPr>
        <w:t>（五）现金流量分析</w:t>
      </w:r>
    </w:p>
    <w:p>
      <w:pPr>
        <w:spacing w:lineRule="exact" w:line="600" w:before="0" w:after="0"/>
        <w:ind w:firstLine="420"/>
        <w:jc w:val="both"/>
      </w:pPr>
      <w:r>
        <w:rPr>
          <w:rFonts w:ascii="仿宋_GB2312" w:hAnsi="仿宋_GB2312" w:eastAsia="仿宋_GB2312"/>
          <w:b w:val="0"/>
          <w:color w:val="000000"/>
          <w:sz w:val="32"/>
        </w:rPr>
        <w:t>公司现金流量数据未公开披露。建议获取近三年现金流量表与主要银行账户流水，验证销售回款的真实性与稳定性。</w:t>
      </w:r>
    </w:p>
    <w:p>
      <w:pPr>
        <w:spacing w:lineRule="exact" w:line="600" w:before="0" w:after="0"/>
        <w:ind w:firstLine="420"/>
        <w:jc w:val="both"/>
      </w:pPr>
      <w:r>
        <w:rPr>
          <w:rFonts w:ascii="仿宋_GB2312" w:hAnsi="仿宋_GB2312" w:eastAsia="仿宋_GB2312"/>
          <w:b w:val="0"/>
          <w:color w:val="000000"/>
          <w:sz w:val="32"/>
        </w:rPr>
        <w:t>现金流量表是判断企业真实经营状况最难以修饰的报表。分析要点有三：一是经营活动现金流净额与净利润的匹配度，长期存在"利润高、现金少"的背离，通常意味着收入质量不高或存在大规模赊销与存货积压；二是投资活动现金流出规模与在建项目进度的匹配度，大额资本开支阶段现金流为负属正常，但需评估资金来源的可持续性；三是筹资活动现金流的构成，若企业长期依靠新增借款维持运转，即出现"借新还旧"特征，债务风险已实质上升。建议获取天元信息近三年现金流量表及主要银行账户流水，验证销售回款的真实性与稳定性。</w:t>
      </w:r>
    </w:p>
    <w:p>
      <w:pPr>
        <w:spacing w:lineRule="exact" w:line="600" w:before="120" w:after="120"/>
        <w:ind w:firstLine="420"/>
        <w:jc w:val="left"/>
      </w:pPr>
      <w:r>
        <w:rPr>
          <w:rFonts w:ascii="楷体_GB2312" w:hAnsi="楷体_GB2312" w:eastAsia="楷体_GB2312"/>
          <w:b w:val="0"/>
          <w:color w:val="000000"/>
          <w:sz w:val="32"/>
        </w:rPr>
        <w:t>（六）同业对标与财务评价</w:t>
      </w:r>
    </w:p>
    <w:p>
      <w:pPr>
        <w:spacing w:lineRule="exact" w:line="600" w:before="0" w:after="0"/>
        <w:ind w:firstLine="420"/>
        <w:jc w:val="both"/>
      </w:pPr>
      <w:r>
        <w:rPr>
          <w:rFonts w:ascii="仿宋_GB2312" w:hAnsi="仿宋_GB2312" w:eastAsia="仿宋_GB2312"/>
          <w:b w:val="0"/>
          <w:color w:val="000000"/>
          <w:sz w:val="32"/>
        </w:rPr>
        <w:t>同业对标可选取地理信息与测绘上市企业作为参照，关注其毛利率、资产负债率与经营现金流水平。需注意天元信息为区域性综合地理信息企业，与全国性平台企业差异较大。</w:t>
      </w:r>
    </w:p>
    <w:p>
      <w:pPr>
        <w:spacing w:lineRule="exact" w:line="600" w:before="0" w:after="0"/>
        <w:ind w:firstLine="420"/>
        <w:jc w:val="both"/>
      </w:pPr>
      <w:r>
        <w:rPr>
          <w:rFonts w:ascii="仿宋_GB2312" w:hAnsi="仿宋_GB2312" w:eastAsia="仿宋_GB2312"/>
          <w:b w:val="0"/>
          <w:color w:val="000000"/>
          <w:sz w:val="32"/>
        </w:rPr>
        <w:t>同业对标应遵循"同环节、同规模、同区域"原则选取可比样本，避免以行业龙头的财务表现直接衡量中小企业。对标指标建议聚焦五项：毛利率（反映产品竞争力）、期间费用率（反映管理效率）、资产负债率（反映财务稳健性）、存货与应收周转天数（反映运营效率）、经营现金流与营业收入之比（反映收入质量）。通过分位数定位，可较为客观地判断企业在行业中的相对位置，并识别其财务改善的主要方向。</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（一）治理架构与决策机制</w:t>
      </w:r>
    </w:p>
    <w:p>
      <w:pPr>
        <w:spacing w:lineRule="exact" w:line="600" w:before="0" w:after="0"/>
        <w:ind w:firstLine="420"/>
        <w:jc w:val="both"/>
      </w:pPr>
      <w:r>
        <w:rPr>
          <w:rFonts w:ascii="仿宋_GB2312" w:hAnsi="仿宋_GB2312" w:eastAsia="仿宋_GB2312"/>
          <w:b w:val="0"/>
          <w:color w:val="000000"/>
          <w:sz w:val="32"/>
        </w:rPr>
        <w:t>公司为非上市民营企业，治理规范度总体低于公众公司。作为成立二十余年的企业，建议逐步完善董事会与专业委员会机制，提升治理透明度。</w:t>
      </w:r>
    </w:p>
    <w:p>
      <w:pPr>
        <w:spacing w:lineRule="exact" w:line="600" w:before="0" w:after="0"/>
        <w:ind w:firstLine="420"/>
        <w:jc w:val="both"/>
      </w:pPr>
      <w:r>
        <w:rPr>
          <w:rFonts w:ascii="仿宋_GB2312" w:hAnsi="仿宋_GB2312" w:eastAsia="仿宋_GB2312"/>
          <w:b w:val="0"/>
          <w:color w:val="000000"/>
          <w:sz w:val="32"/>
        </w:rPr>
        <w:t>天元信息为非上市企业，治理规范度总体低于公众公司，普遍存在股东会与董事会职能虚化、决策依赖实际控制人个人判断、"三重一大"事项缺乏集体决策留痕等现象。这并不必然意味着治理失效——在中小企业成长期，集中决策往往具有效率优势；但随着资产规模扩大与外部融资增加，治理短板会转化为实质风险，典型表现为关联交易不规范、资金管理混同、重大投资缺乏充分论证。建议企业逐步建立规范的董事会与专业委员会机制，明确授权边界与决策流程，为后续引入战略投资或上市奠定基础。</w:t>
      </w:r>
    </w:p>
    <w:p>
      <w:pPr>
        <w:spacing w:lineRule="exact" w:line="600" w:before="120" w:after="120"/>
        <w:ind w:firstLine="420"/>
        <w:jc w:val="left"/>
      </w:pPr>
      <w:r>
        <w:rPr>
          <w:rFonts w:ascii="楷体_GB2312" w:hAnsi="楷体_GB2312" w:eastAsia="楷体_GB2312"/>
          <w:b w:val="0"/>
          <w:color w:val="000000"/>
          <w:sz w:val="32"/>
        </w:rPr>
        <w:t>（二）管理层与激励约束</w:t>
      </w:r>
    </w:p>
    <w:p>
      <w:pPr>
        <w:spacing w:lineRule="exact" w:line="600" w:before="0" w:after="0"/>
        <w:ind w:firstLine="420"/>
        <w:jc w:val="both"/>
      </w:pPr>
      <w:r>
        <w:rPr>
          <w:rFonts w:ascii="仿宋_GB2312" w:hAnsi="仿宋_GB2312" w:eastAsia="仿宋_GB2312"/>
          <w:b w:val="0"/>
          <w:color w:val="000000"/>
          <w:sz w:val="32"/>
        </w:rPr>
        <w:t>公司管理层构成、任职经历与激励机制未公开披露。作为技术密集型企业，核心管理与技术骨干的稳定性关键。建议核查核心团队任职年限与股权激励安排。</w:t>
      </w:r>
    </w:p>
    <w:p>
      <w:pPr>
        <w:spacing w:lineRule="exact" w:line="600" w:before="0" w:after="0"/>
        <w:ind w:firstLine="420"/>
        <w:jc w:val="both"/>
      </w:pPr>
      <w:r>
        <w:rPr>
          <w:rFonts w:ascii="仿宋_GB2312" w:hAnsi="仿宋_GB2312" w:eastAsia="仿宋_GB2312"/>
          <w:b w:val="0"/>
          <w:color w:val="000000"/>
          <w:sz w:val="32"/>
        </w:rPr>
        <w:t>民营与外资企业管理层市场化程度较高，但激励机制的长期性是普遍短板。评价要点包括：核心管理与技术骨干的任职年限与稳定性、是否建立与经营成果挂钩的中长期激励（股权、期权、虚拟股、超额奖励）、关键岗位是否存在"一人不可替代"的单点依赖、以及是否签订竞业限制与保密协议以保护技术资产。</w:t>
      </w:r>
    </w:p>
    <w:p>
      <w:pPr>
        <w:spacing w:lineRule="exact" w:line="600" w:before="120" w:after="120"/>
        <w:ind w:firstLine="420"/>
        <w:jc w:val="left"/>
      </w:pPr>
      <w:r>
        <w:rPr>
          <w:rFonts w:ascii="楷体_GB2312" w:hAnsi="楷体_GB2312" w:eastAsia="楷体_GB2312"/>
          <w:b w:val="0"/>
          <w:color w:val="000000"/>
          <w:sz w:val="32"/>
        </w:rPr>
        <w:t>（三）人力资源与人才结构</w:t>
      </w:r>
    </w:p>
    <w:p>
      <w:pPr>
        <w:spacing w:lineRule="exact" w:line="600" w:before="0" w:after="0"/>
        <w:ind w:firstLine="420"/>
        <w:jc w:val="both"/>
      </w:pPr>
      <w:r>
        <w:rPr>
          <w:rFonts w:ascii="仿宋_GB2312" w:hAnsi="仿宋_GB2312" w:eastAsia="仿宋_GB2312"/>
          <w:b w:val="0"/>
          <w:color w:val="000000"/>
          <w:sz w:val="32"/>
        </w:rPr>
        <w:t>公司员工总数、学历与专业结构、参保人数未公开披露（公开渠道显示参保约34人、人员规模小于50人）。作为地理信息企业，测绘与研发人员占比较高。建议核查人员结构与流动率。</w:t>
      </w:r>
    </w:p>
    <w:p>
      <w:pPr>
        <w:spacing w:lineRule="exact" w:line="600" w:before="0" w:after="0"/>
        <w:ind w:firstLine="420"/>
        <w:jc w:val="both"/>
      </w:pPr>
      <w:r>
        <w:rPr>
          <w:rFonts w:ascii="仿宋_GB2312" w:hAnsi="仿宋_GB2312" w:eastAsia="仿宋_GB2312"/>
          <w:b w:val="0"/>
          <w:color w:val="000000"/>
          <w:sz w:val="32"/>
        </w:rPr>
        <w:t>人力资源分析应关注总量、结构与效率三个层面。总量方面，社保参保人数是相对可靠的公开印证指标；结构方面，研发人员占比、本科及以上学历占比、技师与高级技师数量反映企业的技术能力与工艺传承水平；效率方面，人均营业收入与人均利润是横向比较管理水平的核心指标。对东营经济技术开发区等县域及园区企业而言，高端人才引进难、留存难是共性难题，通常需要依托"研发中心设在中心城市、生产基地布局县域"的双基地模式，或通过校企合作、产业教授、柔性引才等方式缓解。</w:t>
      </w:r>
    </w:p>
    <w:p>
      <w:pPr>
        <w:spacing w:lineRule="exact" w:line="600" w:before="120" w:after="120"/>
        <w:ind w:firstLine="420"/>
        <w:jc w:val="left"/>
      </w:pPr>
      <w:r>
        <w:rPr>
          <w:rFonts w:ascii="楷体_GB2312" w:hAnsi="楷体_GB2312" w:eastAsia="楷体_GB2312"/>
          <w:b w:val="0"/>
          <w:color w:val="000000"/>
          <w:sz w:val="32"/>
        </w:rPr>
        <w:t>（四）内控、合规与信息化管理</w:t>
      </w:r>
    </w:p>
    <w:p>
      <w:pPr>
        <w:spacing w:lineRule="exact" w:line="600" w:before="0" w:after="0"/>
        <w:ind w:firstLine="420"/>
        <w:jc w:val="both"/>
      </w:pPr>
      <w:r>
        <w:rPr>
          <w:rFonts w:ascii="仿宋_GB2312" w:hAnsi="仿宋_GB2312" w:eastAsia="仿宋_GB2312"/>
          <w:b w:val="0"/>
          <w:color w:val="000000"/>
          <w:sz w:val="32"/>
        </w:rPr>
        <w:t>公司内控体系运行未公开披露。测绘企业的内控特殊性在于项目成本核算与数据安全。建议核查其质量与安全管理有效性。</w:t>
      </w:r>
    </w:p>
    <w:p>
      <w:pPr>
        <w:spacing w:lineRule="exact" w:line="600" w:before="0" w:after="0"/>
        <w:ind w:firstLine="420"/>
        <w:jc w:val="both"/>
      </w:pPr>
      <w:r>
        <w:rPr>
          <w:rFonts w:ascii="仿宋_GB2312" w:hAnsi="仿宋_GB2312" w:eastAsia="仿宋_GB2312"/>
          <w:b w:val="0"/>
          <w:color w:val="000000"/>
          <w:sz w:val="32"/>
        </w:rPr>
        <w:t>内部控制的有效性应从五个环节评估：一是资金管理，银行账户与印鉴是否分管、大额支付是否实行多级审批；二是采购与销售，是否建立招标比价、合同评审与信用额度管理制度；三是存货与资产，是否定期盘点并进行账实核对；四是关联交易，是否履行审批与定价公允性说明；五是信息系统，ERP、MES、财务系统的集成程度决定了数据的真实性与可核查性。信息化水平较高的企业，其经营数据可作为供应链金融线上化风控的数据基础，这一点在方案设计中具有直接价值。</w:t>
      </w:r>
    </w:p>
    <w:p>
      <w:pPr>
        <w:spacing w:lineRule="exact" w:line="600" w:before="120" w:after="120"/>
        <w:ind w:firstLine="420"/>
        <w:jc w:val="left"/>
      </w:pPr>
      <w:r>
        <w:rPr>
          <w:rFonts w:ascii="黑体" w:hAnsi="黑体" w:eastAsia="黑体"/>
          <w:b w:val="0"/>
          <w:color w:val="000000"/>
          <w:sz w:val="32"/>
        </w:rPr>
        <w:t>五、核心竞争力分析</w:t>
      </w:r>
    </w:p>
    <w:p>
      <w:pPr>
        <w:spacing w:lineRule="exact" w:line="600" w:before="120" w:after="120"/>
        <w:ind w:firstLine="420"/>
        <w:jc w:val="left"/>
      </w:pPr>
      <w:r>
        <w:rPr>
          <w:rFonts w:ascii="楷体_GB2312" w:hAnsi="楷体_GB2312" w:eastAsia="楷体_GB2312"/>
          <w:b w:val="0"/>
          <w:color w:val="000000"/>
          <w:sz w:val="32"/>
        </w:rPr>
        <w:t>（一）技术与工艺壁垒</w:t>
      </w:r>
    </w:p>
    <w:p>
      <w:pPr>
        <w:spacing w:lineRule="exact" w:line="600" w:before="0" w:after="0"/>
        <w:ind w:firstLine="420"/>
        <w:jc w:val="both"/>
      </w:pPr>
      <w:r>
        <w:rPr>
          <w:rFonts w:ascii="仿宋_GB2312" w:hAnsi="仿宋_GB2312" w:eastAsia="仿宋_GB2312"/>
          <w:b w:val="0"/>
          <w:color w:val="000000"/>
          <w:sz w:val="32"/>
        </w:rPr>
        <w:t>公司技术护城河集中体现在甲级测绘资质与油田地理信息系统发明专利上，2007年油田地理信息系统发明专利申请成功，并布局无人机航测、微地震、地质导向等特色技术。这类资质与know-how需长期积累，难以复制。</w:t>
      </w:r>
    </w:p>
    <w:p>
      <w:pPr>
        <w:spacing w:lineRule="exact" w:line="600" w:before="0" w:after="0"/>
        <w:ind w:firstLine="420"/>
        <w:jc w:val="both"/>
      </w:pPr>
      <w:r>
        <w:rPr>
          <w:rFonts w:ascii="仿宋_GB2312" w:hAnsi="仿宋_GB2312" w:eastAsia="仿宋_GB2312"/>
          <w:b w:val="0"/>
          <w:color w:val="000000"/>
          <w:sz w:val="32"/>
        </w:rPr>
        <w:t>技术壁垒的实质是"可持续的不可替代性"。判断天元信息技术护城河的深浅，可从四个角度切入：一是专利与工艺诀窍的组合，纯专利易被绕过，而工艺参数、配方、操作诀窍等隐性知识更难复制；二是研发投入的连续性，间断性投入难以形成技术代际差；三是与客户的联合开发深度，参与客户新品定义的供应商具有更强锁定效应；四是标准话语权，主导或参与国家标准、行业标准制定的企业，可将自身技术路线固化为行业门槛。</w:t>
      </w:r>
    </w:p>
    <w:p>
      <w:pPr>
        <w:spacing w:lineRule="exact" w:line="600" w:before="120" w:after="120"/>
        <w:ind w:firstLine="420"/>
        <w:jc w:val="left"/>
      </w:pPr>
      <w:r>
        <w:rPr>
          <w:rFonts w:ascii="楷体_GB2312" w:hAnsi="楷体_GB2312" w:eastAsia="楷体_GB2312"/>
          <w:b w:val="0"/>
          <w:color w:val="000000"/>
          <w:sz w:val="32"/>
        </w:rPr>
        <w:t>（二）规模与成本优势</w:t>
      </w:r>
    </w:p>
    <w:p>
      <w:pPr>
        <w:spacing w:lineRule="exact" w:line="600" w:before="0" w:after="0"/>
        <w:ind w:firstLine="420"/>
        <w:jc w:val="both"/>
      </w:pPr>
      <w:r>
        <w:rPr>
          <w:rFonts w:ascii="仿宋_GB2312" w:hAnsi="仿宋_GB2312" w:eastAsia="仿宋_GB2312"/>
          <w:b w:val="0"/>
          <w:color w:val="000000"/>
          <w:sz w:val="32"/>
        </w:rPr>
        <w:t>公司成本优势来源于全国12家分子公司与办事处的本地化交付网络、复用测绘数据与软件平台的边际成本递减，以及东营园区与油气产业生态的人才成本节约。属结构性优势。</w:t>
      </w:r>
    </w:p>
    <w:p>
      <w:pPr>
        <w:spacing w:lineRule="exact" w:line="600" w:before="0" w:after="0"/>
        <w:ind w:firstLine="420"/>
        <w:jc w:val="both"/>
      </w:pPr>
      <w:r>
        <w:rPr>
          <w:rFonts w:ascii="仿宋_GB2312" w:hAnsi="仿宋_GB2312" w:eastAsia="仿宋_GB2312"/>
          <w:b w:val="0"/>
          <w:color w:val="000000"/>
          <w:sz w:val="32"/>
        </w:rPr>
        <w:t>成本优势的可靠来源是结构性而非一次性的：装置规模带来的单位投资与单耗下降、一体化带来的中间环节费用节省、区位带来的物流与公用工程成本优势、以及自动化改造带来的人工成本压缩，均属结构性优势；而依靠临时性低价原料、阶段性政策补贴或环保投入不足形成的成本优势不可持续，甚至构成重大合规隐患。</w:t>
      </w:r>
    </w:p>
    <w:p>
      <w:pPr>
        <w:spacing w:lineRule="exact" w:line="600" w:before="120" w:after="120"/>
        <w:ind w:firstLine="420"/>
        <w:jc w:val="left"/>
      </w:pPr>
      <w:r>
        <w:rPr>
          <w:rFonts w:ascii="楷体_GB2312" w:hAnsi="楷体_GB2312" w:eastAsia="楷体_GB2312"/>
          <w:b w:val="0"/>
          <w:color w:val="000000"/>
          <w:sz w:val="32"/>
        </w:rPr>
        <w:t>（三）客户与渠道壁垒</w:t>
      </w:r>
    </w:p>
    <w:p>
      <w:pPr>
        <w:spacing w:lineRule="exact" w:line="600" w:before="0" w:after="0"/>
        <w:ind w:firstLine="420"/>
        <w:jc w:val="both"/>
      </w:pPr>
      <w:r>
        <w:rPr>
          <w:rFonts w:ascii="仿宋_GB2312" w:hAnsi="仿宋_GB2312" w:eastAsia="仿宋_GB2312"/>
          <w:b w:val="0"/>
          <w:color w:val="000000"/>
          <w:sz w:val="32"/>
        </w:rPr>
        <w:t>政企与油田客户壁垒表现为测绘资质门槛与合格供应商认证，进入需资质审核与长期合作验证；一旦纳入体系，客户出于数据一致性通常不轻易更换。天元信息甲级资质有助于加快客户认证。</w:t>
      </w:r>
    </w:p>
    <w:p>
      <w:pPr>
        <w:spacing w:lineRule="exact" w:line="600" w:before="0" w:after="0"/>
        <w:ind w:firstLine="420"/>
        <w:jc w:val="both"/>
      </w:pPr>
      <w:r>
        <w:rPr>
          <w:rFonts w:ascii="仿宋_GB2312" w:hAnsi="仿宋_GB2312" w:eastAsia="仿宋_GB2312"/>
          <w:b w:val="0"/>
          <w:color w:val="000000"/>
          <w:sz w:val="32"/>
        </w:rPr>
        <w:t>在B端市场，客户壁垒主要表现为认证周期与切换成本：进入大型客户合格供应商名录通常需经历样品验证、小批试用、产线验证等多轮审核，周期长达一至三年；一旦纳入体系，客户出于质量一致性与切换成本考虑通常不会轻易更换供应商。在C端市场，壁垒则来自品牌认知、渠道覆盖密度与消费者复购习惯。两类壁垒的共同点是需要长期投入积累，难以短期复制。</w:t>
      </w:r>
    </w:p>
    <w:p>
      <w:pPr>
        <w:spacing w:lineRule="exact" w:line="600" w:before="120" w:after="120"/>
        <w:ind w:firstLine="420"/>
        <w:jc w:val="left"/>
      </w:pPr>
      <w:r>
        <w:rPr>
          <w:rFonts w:ascii="楷体_GB2312" w:hAnsi="楷体_GB2312" w:eastAsia="楷体_GB2312"/>
          <w:b w:val="0"/>
          <w:color w:val="000000"/>
          <w:sz w:val="32"/>
        </w:rPr>
        <w:t>（四）集群协同与区位条件</w:t>
      </w:r>
    </w:p>
    <w:p>
      <w:pPr>
        <w:spacing w:lineRule="exact" w:line="600" w:before="0" w:after="0"/>
        <w:ind w:firstLine="420"/>
        <w:jc w:val="both"/>
      </w:pPr>
      <w:r>
        <w:rPr>
          <w:rFonts w:ascii="仿宋_GB2312" w:hAnsi="仿宋_GB2312" w:eastAsia="仿宋_GB2312"/>
          <w:b w:val="0"/>
          <w:color w:val="000000"/>
          <w:sz w:val="32"/>
        </w:rPr>
        <w:t>东营数字经济软件集群为天元信息提供了要素共享、知识溢出与市场匹配三类外部经济，特别是悦来湖数字经济产业园、648家数字企业、5000余名数字人才的产业生态，以及油气与城市的丰富应用场景。</w:t>
      </w:r>
    </w:p>
    <w:p>
      <w:pPr>
        <w:spacing w:lineRule="exact" w:line="600" w:before="0" w:after="0"/>
        <w:ind w:firstLine="420"/>
        <w:jc w:val="both"/>
      </w:pPr>
      <w:r>
        <w:rPr>
          <w:rFonts w:ascii="仿宋_GB2312" w:hAnsi="仿宋_GB2312" w:eastAsia="仿宋_GB2312"/>
          <w:b w:val="0"/>
          <w:color w:val="000000"/>
          <w:sz w:val="32"/>
        </w:rPr>
        <w:t>东营经济技术开发区数字经济软件信息特色产业集群为天元信息提供了三类外部经济：一是要素共享，包括集中供热供汽、集中污水处理、公共检验检测、危化品仓储物流等基础设施，显著降低单体企业的固定投入；二是知识溢出，产业链企业与科研机构在空间集聚中形成技术扩散与人才流动；三是市场匹配，上下游就近配套缩短采购半径、降低库存与物流成本。集群红利也带来风险关联性上升的另一面，即区域性环保督察、安全停产或能耗管控可能同时影响集群内多家企业，金融机构在区域集中度管理上应予关注。</w:t>
      </w:r>
    </w:p>
    <w:p>
      <w:pPr>
        <w:spacing w:lineRule="exact" w:line="600" w:before="120" w:after="120"/>
        <w:ind w:firstLine="420"/>
        <w:jc w:val="left"/>
      </w:pPr>
      <w:r>
        <w:rPr>
          <w:rFonts w:ascii="黑体" w:hAnsi="黑体" w:eastAsia="黑体"/>
          <w:b w:val="0"/>
          <w:color w:val="000000"/>
          <w:sz w:val="32"/>
        </w:rPr>
        <w:t>六、风险分析</w:t>
      </w:r>
    </w:p>
    <w:p>
      <w:pPr>
        <w:spacing w:lineRule="exact" w:line="600" w:before="0" w:after="0"/>
        <w:ind w:firstLine="420"/>
        <w:jc w:val="both"/>
      </w:pPr>
      <w:r>
        <w:rPr>
          <w:rFonts w:ascii="仿宋_GB2312" w:hAnsi="仿宋_GB2312" w:eastAsia="仿宋_GB2312"/>
          <w:b w:val="0"/>
          <w:color w:val="000000"/>
          <w:sz w:val="32"/>
        </w:rPr>
        <w:t>风险分析是本报告的重点部分。以下从行业与周期、市场与竞争、客户与应收账款、原材料与供应链、安全环保与合规、财务与流动性、治理与管理等维度，对天元信息面临的主要风险进行识别，并提出相应的缓释建议。</w:t>
      </w:r>
    </w:p>
    <w:p>
      <w:pPr>
        <w:spacing w:lineRule="exact" w:line="600" w:before="120" w:after="120"/>
        <w:ind w:firstLine="420"/>
        <w:jc w:val="left"/>
      </w:pPr>
      <w:r>
        <w:rPr>
          <w:rFonts w:ascii="楷体_GB2312" w:hAnsi="楷体_GB2312" w:eastAsia="楷体_GB2312"/>
          <w:b w:val="0"/>
          <w:color w:val="000000"/>
          <w:sz w:val="32"/>
        </w:rPr>
        <w:t>（一）行业与周期风险</w:t>
      </w:r>
    </w:p>
    <w:p>
      <w:pPr>
        <w:spacing w:lineRule="exact" w:line="600" w:before="0" w:after="0"/>
        <w:ind w:firstLine="420"/>
        <w:jc w:val="both"/>
      </w:pPr>
      <w:r>
        <w:rPr>
          <w:rFonts w:ascii="仿宋_GB2312" w:hAnsi="仿宋_GB2312" w:eastAsia="仿宋_GB2312"/>
          <w:b w:val="0"/>
          <w:color w:val="000000"/>
          <w:sz w:val="32"/>
        </w:rPr>
        <w:t>地理信息与测绘服务业受下游政府与油田信息化预算、技术迭代多重影响。对天元信息而言，政企项目结算周期与油田资本开支波动会传导至订单与回款；同时遥感与AI技术快速迭代亦带来产品更新压力。</w:t>
      </w:r>
    </w:p>
    <w:p>
      <w:pPr>
        <w:spacing w:lineRule="exact" w:line="600" w:before="0" w:after="0"/>
        <w:ind w:firstLine="420"/>
        <w:jc w:val="both"/>
      </w:pPr>
      <w:r>
        <w:rPr>
          <w:rFonts w:ascii="仿宋_GB2312" w:hAnsi="仿宋_GB2312" w:eastAsia="仿宋_GB2312"/>
          <w:b w:val="0"/>
          <w:color w:val="000000"/>
          <w:sz w:val="32"/>
        </w:rPr>
        <w:t>软件与信息技术服务业需求主要来自政府与国企的信息化投入、行业数字化转型预算。该类支出与财政状况、行业景气度密切相关，在财政收支紧平衡与业主资本开支收缩时期，项目延期立项、压缩规模、延后验收与付款的情形较为普遍，直接形成收入确认与回款的双重压力。同时人工智能大模型等新技术正重构软件交付范式，既是机会也可能使既有产品快速边缘化。</w:t>
      </w:r>
    </w:p>
    <w:p>
      <w:pPr>
        <w:spacing w:lineRule="exact" w:line="600" w:before="120" w:after="120"/>
        <w:ind w:firstLine="420"/>
        <w:jc w:val="left"/>
      </w:pPr>
      <w:r>
        <w:rPr>
          <w:rFonts w:ascii="楷体_GB2312" w:hAnsi="楷体_GB2312" w:eastAsia="楷体_GB2312"/>
          <w:b w:val="0"/>
          <w:color w:val="000000"/>
          <w:sz w:val="32"/>
        </w:rPr>
        <w:t>（二）市场与竞争风险</w:t>
      </w:r>
    </w:p>
    <w:p>
      <w:pPr>
        <w:spacing w:lineRule="exact" w:line="600" w:before="0" w:after="0"/>
        <w:ind w:firstLine="420"/>
        <w:jc w:val="both"/>
      </w:pPr>
      <w:r>
        <w:rPr>
          <w:rFonts w:ascii="仿宋_GB2312" w:hAnsi="仿宋_GB2312" w:eastAsia="仿宋_GB2312"/>
          <w:b w:val="0"/>
          <w:color w:val="000000"/>
          <w:sz w:val="32"/>
        </w:rPr>
        <w:t>竞争风险的现实表现是价格战与份额侵蚀。地理信息产业参与者众多，天元信息需在甲级资质与油田特色服务上构筑非价格竞争优势。建议企业建立竞争情报跟踪机制。</w:t>
      </w:r>
    </w:p>
    <w:p>
      <w:pPr>
        <w:spacing w:lineRule="exact" w:line="600" w:before="0" w:after="0"/>
        <w:ind w:firstLine="420"/>
        <w:jc w:val="both"/>
      </w:pPr>
      <w:r>
        <w:rPr>
          <w:rFonts w:ascii="仿宋_GB2312" w:hAnsi="仿宋_GB2312" w:eastAsia="仿宋_GB2312"/>
          <w:b w:val="0"/>
          <w:color w:val="000000"/>
          <w:sz w:val="32"/>
        </w:rPr>
        <w:t>竞争风险的现实表现是价格战与份额侵蚀。当行业新增产能集中投放、需求增速低于供给增速时，价格竞争几乎不可避免，中小企业首先承压。对天元信息而言，需关注三类竞争者：一是同环节的规模领先者，凭借成本优势主动降价挤压；二是纵向一体化的跨界进入者，可以牺牲单一环节利润换取整体份额；三是技术替代者，以新材料、新工艺或新商业模式重构需求。建议企业建立竞争情报跟踪机制，并以差异化品种与服务能力构筑非价格竞争优势。</w:t>
      </w:r>
    </w:p>
    <w:p>
      <w:pPr>
        <w:spacing w:lineRule="exact" w:line="600" w:before="120" w:after="120"/>
        <w:ind w:firstLine="420"/>
        <w:jc w:val="left"/>
      </w:pPr>
      <w:r>
        <w:rPr>
          <w:rFonts w:ascii="楷体_GB2312" w:hAnsi="楷体_GB2312" w:eastAsia="楷体_GB2312"/>
          <w:b w:val="0"/>
          <w:color w:val="000000"/>
          <w:sz w:val="32"/>
        </w:rPr>
        <w:t>（三）客户集中与应收账款风险</w:t>
      </w:r>
    </w:p>
    <w:p>
      <w:pPr>
        <w:spacing w:lineRule="exact" w:line="600" w:before="0" w:after="0"/>
        <w:ind w:firstLine="420"/>
        <w:jc w:val="both"/>
      </w:pPr>
      <w:r>
        <w:rPr>
          <w:rFonts w:ascii="仿宋_GB2312" w:hAnsi="仿宋_GB2312" w:eastAsia="仿宋_GB2312"/>
          <w:b w:val="0"/>
          <w:color w:val="000000"/>
          <w:sz w:val="32"/>
        </w:rPr>
        <w:t>客户集中度方面，若收入依赖少数政府与油田客户，单一客户变动会造成冲击。建议建立客户信用评级与额度管理，并运用信用保险、保理等工具转移风险。</w:t>
      </w:r>
    </w:p>
    <w:p>
      <w:pPr>
        <w:spacing w:lineRule="exact" w:line="600" w:before="0" w:after="0"/>
        <w:ind w:firstLine="420"/>
        <w:jc w:val="both"/>
      </w:pPr>
      <w:r>
        <w:rPr>
          <w:rFonts w:ascii="仿宋_GB2312" w:hAnsi="仿宋_GB2312" w:eastAsia="仿宋_GB2312"/>
          <w:b w:val="0"/>
          <w:color w:val="000000"/>
          <w:sz w:val="32"/>
        </w:rPr>
        <w:t>客户集中度过高时，单一客户的采购策略调整、准入资格变动或自身经营困难，都会对企业造成直接冲击；而客户过度分散又会抬高信用管理成本。应收账款风险的管理要点在于前端而非后端：应建立客户信用评级与额度管理制度，实行超额度审批与停货机制，对长账龄款项及时启动催收与法律程序，并考虑运用信用保险、保理等工具转移风险。</w:t>
      </w:r>
    </w:p>
    <w:p>
      <w:pPr>
        <w:spacing w:lineRule="exact" w:line="600" w:before="120" w:after="120"/>
        <w:ind w:firstLine="420"/>
        <w:jc w:val="left"/>
      </w:pPr>
      <w:r>
        <w:rPr>
          <w:rFonts w:ascii="楷体_GB2312" w:hAnsi="楷体_GB2312" w:eastAsia="楷体_GB2312"/>
          <w:b w:val="0"/>
          <w:color w:val="000000"/>
          <w:sz w:val="32"/>
        </w:rPr>
        <w:t>（四）原材料与供应链风险</w:t>
      </w:r>
    </w:p>
    <w:p>
      <w:pPr>
        <w:spacing w:lineRule="exact" w:line="600" w:before="0" w:after="0"/>
        <w:ind w:firstLine="420"/>
        <w:jc w:val="both"/>
      </w:pPr>
      <w:r>
        <w:rPr>
          <w:rFonts w:ascii="仿宋_GB2312" w:hAnsi="仿宋_GB2312" w:eastAsia="仿宋_GB2312"/>
          <w:b w:val="0"/>
          <w:color w:val="000000"/>
          <w:sz w:val="32"/>
        </w:rPr>
        <w:t>供应链风险集中于测绘设备、云算力与外包，市场化程度高、替代性强。建议核查关键设备与算力供应安全。</w:t>
      </w:r>
    </w:p>
    <w:p>
      <w:pPr>
        <w:spacing w:lineRule="exact" w:line="600" w:before="120" w:after="120"/>
        <w:ind w:firstLine="420"/>
        <w:jc w:val="left"/>
      </w:pPr>
      <w:r>
        <w:rPr>
          <w:rFonts w:ascii="楷体_GB2312" w:hAnsi="楷体_GB2312" w:eastAsia="楷体_GB2312"/>
          <w:b w:val="0"/>
          <w:color w:val="000000"/>
          <w:sz w:val="32"/>
        </w:rPr>
        <w:t>（五）安全环保与合规风险</w:t>
      </w:r>
    </w:p>
    <w:p>
      <w:pPr>
        <w:spacing w:lineRule="exact" w:line="600" w:before="0" w:after="0"/>
        <w:ind w:firstLine="420"/>
        <w:jc w:val="both"/>
      </w:pPr>
      <w:r>
        <w:rPr>
          <w:rFonts w:ascii="仿宋_GB2312" w:hAnsi="仿宋_GB2312" w:eastAsia="仿宋_GB2312"/>
          <w:b w:val="0"/>
          <w:color w:val="000000"/>
          <w:sz w:val="32"/>
        </w:rPr>
        <w:t>地理信息企业的突出风险是数据安全与涉密合规风险。合规要点包括测绘资质管理、保密资质、网络安全等级保护、地理信息安全审查等。建议将近三年安全保密合规记录查询列为授信前置条件。</w:t>
      </w:r>
    </w:p>
    <w:p>
      <w:pPr>
        <w:spacing w:lineRule="exact" w:line="600" w:before="0" w:after="0"/>
        <w:ind w:firstLine="420"/>
        <w:jc w:val="both"/>
      </w:pPr>
      <w:r>
        <w:rPr>
          <w:rFonts w:ascii="仿宋_GB2312" w:hAnsi="仿宋_GB2312" w:eastAsia="仿宋_GB2312"/>
          <w:b w:val="0"/>
          <w:color w:val="000000"/>
          <w:sz w:val="32"/>
        </w:rPr>
        <w:t>软件企业合规风险集中于三方面：一是数据安全与个人信息保护，涉及《数据安全法》《个人信息保护法》及等级保护要求，政企项目尤需关注数据权属与出境限制；二是知识产权，包括开源协议合规、第三方组件授权与职务发明归属；三是招投标与商业行为合规，政企客户为主的业务结构对廉洁合规要求极高，一旦发生围标串标或商业贿赂事件，可能被列入失信名单并丧失投标资格。</w:t>
      </w:r>
    </w:p>
    <w:p>
      <w:pPr>
        <w:spacing w:lineRule="exact" w:line="600" w:before="120" w:after="120"/>
        <w:ind w:firstLine="420"/>
        <w:jc w:val="left"/>
      </w:pPr>
      <w:r>
        <w:rPr>
          <w:rFonts w:ascii="楷体_GB2312" w:hAnsi="楷体_GB2312" w:eastAsia="楷体_GB2312"/>
          <w:b w:val="0"/>
          <w:color w:val="000000"/>
          <w:sz w:val="32"/>
        </w:rPr>
        <w:t>（六）财务与流动性风险</w:t>
      </w:r>
    </w:p>
    <w:p>
      <w:pPr>
        <w:spacing w:lineRule="exact" w:line="600" w:before="0" w:after="0"/>
        <w:ind w:firstLine="420"/>
        <w:jc w:val="both"/>
      </w:pPr>
      <w:r>
        <w:rPr>
          <w:rFonts w:ascii="仿宋_GB2312" w:hAnsi="仿宋_GB2312" w:eastAsia="仿宋_GB2312"/>
          <w:b w:val="0"/>
          <w:color w:val="000000"/>
          <w:sz w:val="32"/>
        </w:rPr>
        <w:t>财务风险方面，作为项目型企业，若依赖短期借款支撑运营与扩张，易形成期限错配。建议金融机构重点监测应收账款账龄、票据融资占比及抵质押资产比例等预警信号。</w:t>
      </w:r>
    </w:p>
    <w:p>
      <w:pPr>
        <w:spacing w:lineRule="exact" w:line="600" w:before="0" w:after="0"/>
        <w:ind w:firstLine="420"/>
        <w:jc w:val="both"/>
      </w:pPr>
      <w:r>
        <w:rPr>
          <w:rFonts w:ascii="仿宋_GB2312" w:hAnsi="仿宋_GB2312" w:eastAsia="仿宋_GB2312"/>
          <w:b w:val="0"/>
          <w:color w:val="000000"/>
          <w:sz w:val="32"/>
        </w:rPr>
        <w:t>财务风险的核心是期限错配与再融资依赖。在建项目规模较大而自有资金不足时，企业容易通过短期借款、票据滚动等方式弥补长期资金缺口，一旦外部融资环境收紧或某一渠道关闭，即可能引发连锁反应。建议金融机构重点监测四项预警信号：一是有息负债快速增长而经营现金流未同步改善；二是票据融资占比异常上升；三是关联方资金往来规模扩大；四是抵质押资产比例接近上限。对出现上述信号的企业，应及时调整授信策略与风险缓释安排。</w:t>
      </w:r>
    </w:p>
    <w:p>
      <w:pPr>
        <w:spacing w:lineRule="exact" w:line="600" w:before="120" w:after="120"/>
        <w:ind w:firstLine="420"/>
        <w:jc w:val="left"/>
      </w:pPr>
      <w:r>
        <w:rPr>
          <w:rFonts w:ascii="楷体_GB2312" w:hAnsi="楷体_GB2312" w:eastAsia="楷体_GB2312"/>
          <w:b w:val="0"/>
          <w:color w:val="000000"/>
          <w:sz w:val="32"/>
        </w:rPr>
        <w:t>（七）治理与经营管理风险</w:t>
      </w:r>
    </w:p>
    <w:p>
      <w:pPr>
        <w:spacing w:lineRule="exact" w:line="600" w:before="0" w:after="0"/>
        <w:ind w:firstLine="420"/>
        <w:jc w:val="both"/>
      </w:pPr>
      <w:r>
        <w:rPr>
          <w:rFonts w:ascii="仿宋_GB2312" w:hAnsi="仿宋_GB2312" w:eastAsia="仿宋_GB2312"/>
          <w:b w:val="0"/>
          <w:color w:val="000000"/>
          <w:sz w:val="32"/>
        </w:rPr>
        <w:t>治理风险方面，民营企业决策依赖实际控制人，存在关联交易不规范、资金管理混同隐患。建议核查关联交易审批与定价公允性。</w:t>
      </w:r>
    </w:p>
    <w:p>
      <w:pPr>
        <w:spacing w:lineRule="exact" w:line="600" w:before="120" w:after="120"/>
        <w:ind w:firstLine="420"/>
        <w:jc w:val="left"/>
      </w:pPr>
      <w:r>
        <w:rPr>
          <w:rFonts w:ascii="楷体_GB2312" w:hAnsi="楷体_GB2312" w:eastAsia="楷体_GB2312"/>
          <w:b w:val="0"/>
          <w:color w:val="000000"/>
          <w:sz w:val="32"/>
        </w:rPr>
        <w:t>（八）风险综合判断</w:t>
      </w:r>
    </w:p>
    <w:p>
      <w:pPr>
        <w:spacing w:lineRule="exact" w:line="600" w:before="0" w:after="0"/>
        <w:ind w:firstLine="420"/>
        <w:jc w:val="both"/>
      </w:pPr>
      <w:r>
        <w:rPr>
          <w:rFonts w:ascii="仿宋_GB2312" w:hAnsi="仿宋_GB2312" w:eastAsia="仿宋_GB2312"/>
          <w:b w:val="0"/>
          <w:color w:val="000000"/>
          <w:sz w:val="32"/>
        </w:rPr>
        <w:t>综合判断，天元信息面临的主要风险集中于政企与油田预算波动、技术迭代竞争及客户集中度，但其甲级测绘资质、二十余年行业积淀与全国布局构成风险缓冲。整体风险等级中等，对其授信应重点关注项目回款与订单持续性。</w:t>
      </w:r>
    </w:p>
    <w:p>
      <w:pPr>
        <w:spacing w:lineRule="exact" w:line="600" w:before="120" w:after="120"/>
        <w:ind w:firstLine="420"/>
        <w:jc w:val="left"/>
      </w:pPr>
      <w:r>
        <w:rPr>
          <w:rFonts w:ascii="黑体" w:hAnsi="黑体" w:eastAsia="黑体"/>
          <w:b w:val="0"/>
          <w:color w:val="000000"/>
          <w:sz w:val="32"/>
        </w:rPr>
        <w:t>七、融资需求与产品适配分析</w:t>
      </w:r>
    </w:p>
    <w:p>
      <w:pPr>
        <w:spacing w:lineRule="exact" w:line="600" w:before="120" w:after="120"/>
        <w:ind w:firstLine="420"/>
        <w:jc w:val="left"/>
      </w:pPr>
      <w:r>
        <w:rPr>
          <w:rFonts w:ascii="楷体_GB2312" w:hAnsi="楷体_GB2312" w:eastAsia="楷体_GB2312"/>
          <w:b w:val="0"/>
          <w:color w:val="000000"/>
          <w:sz w:val="32"/>
        </w:rPr>
        <w:t>（一）资金需求判断与用途分析</w:t>
      </w:r>
    </w:p>
    <w:p>
      <w:pPr>
        <w:spacing w:lineRule="exact" w:line="600" w:before="0" w:after="0"/>
        <w:ind w:firstLine="420"/>
        <w:jc w:val="both"/>
      </w:pPr>
      <w:r>
        <w:rPr>
          <w:rFonts w:ascii="仿宋_GB2312" w:hAnsi="仿宋_GB2312" w:eastAsia="仿宋_GB2312"/>
          <w:b w:val="0"/>
          <w:color w:val="000000"/>
          <w:sz w:val="32"/>
        </w:rPr>
        <w:t>从资金用途看，天元信息的融资需求主要源于项目执行与营运资金：测绘与GIS项目需垫付设备与人力，政企项目回款周期长；全国布局亦需资金支持。资金需求以短期性、周转性为主。</w:t>
      </w:r>
    </w:p>
    <w:p>
      <w:pPr>
        <w:spacing w:lineRule="exact" w:line="600" w:before="0" w:after="0"/>
        <w:ind w:firstLine="420"/>
        <w:jc w:val="both"/>
      </w:pPr>
      <w:r>
        <w:rPr>
          <w:rFonts w:ascii="仿宋_GB2312" w:hAnsi="仿宋_GB2312" w:eastAsia="仿宋_GB2312"/>
          <w:b w:val="0"/>
          <w:color w:val="000000"/>
          <w:sz w:val="32"/>
        </w:rPr>
        <w:t>从资金用途看，天元信息的融资需求可归为三类：一是营运资金需求，用于原料采购、人工与能源支出、应收账款与存货占用，其规模大体等于现金转换周期天数与日均营业成本的乘积，具有周转性、短期性特征，适配流动资金贷款、保理、票据贴现与供应链融资；二是资本性支出需求，用于产线建设、设备购置与技术改造，期限长、金额大，适配项目贷款、融资租赁与权益性资金；三是结构优化需求，用于置换高成本负债、延长债务久期、改善期限匹配。三类需求应匹配不同的金融工具，错配使用将放大风险。</w:t>
      </w:r>
    </w:p>
    <w:p>
      <w:pPr>
        <w:spacing w:lineRule="exact" w:line="600" w:before="120" w:after="120"/>
        <w:ind w:firstLine="420"/>
        <w:jc w:val="left"/>
      </w:pPr>
      <w:r>
        <w:rPr>
          <w:rFonts w:ascii="楷体_GB2312" w:hAnsi="楷体_GB2312" w:eastAsia="楷体_GB2312"/>
          <w:b w:val="0"/>
          <w:color w:val="000000"/>
          <w:sz w:val="32"/>
        </w:rPr>
        <w:t>（二）商业保理适配性分析</w:t>
      </w:r>
    </w:p>
    <w:p>
      <w:pPr>
        <w:spacing w:lineRule="exact" w:line="600" w:before="0" w:after="0"/>
        <w:ind w:firstLine="420"/>
        <w:jc w:val="both"/>
      </w:pPr>
      <w:r>
        <w:rPr>
          <w:rFonts w:ascii="仿宋_GB2312" w:hAnsi="仿宋_GB2312" w:eastAsia="仿宋_GB2312"/>
          <w:b w:val="0"/>
          <w:color w:val="000000"/>
          <w:sz w:val="32"/>
        </w:rPr>
        <w:t>商业保理方面，天元信息对下游政府与油田客户的优质应收账款可作明保标的，但需做好基础资产确权与回款路径封闭管理。鉴于项目账期较长，可优先选择已验收结算的应收账款。</w:t>
      </w:r>
    </w:p>
    <w:p>
      <w:pPr>
        <w:spacing w:lineRule="exact" w:line="600" w:before="0" w:after="0"/>
        <w:ind w:firstLine="420"/>
        <w:jc w:val="both"/>
      </w:pPr>
      <w:r>
        <w:rPr>
          <w:rFonts w:ascii="仿宋_GB2312" w:hAnsi="仿宋_GB2312" w:eastAsia="仿宋_GB2312"/>
          <w:b w:val="0"/>
          <w:color w:val="000000"/>
          <w:sz w:val="32"/>
        </w:rPr>
        <w:t>商业保理的适配前提是存在权属清晰、账期明确、确权可行的应收账款。针对天元信息，方案设计要点包括：一是基础资产筛选，优先选择核心客户（大型央国企、上市公司或优质品牌商）项下已验收结算的应收账款，剔除存在质量争议、抵销抗辩与禁止转让条款的债权；二是确权方式，能取得买方书面确认的采用明保模式，不便确权的可采用暗保并辅以回款路径封闭管理；三是融资比例与定价，按发票金额的七成至九成核定，并根据买方信用等级差异化定价；四是风险缓释，设置回购条款、保证金或信用保险，并办理应收账款转让登记以防范重复融资。</w:t>
      </w:r>
    </w:p>
    <w:p>
      <w:pPr>
        <w:spacing w:lineRule="exact" w:line="600" w:before="120" w:after="120"/>
        <w:ind w:firstLine="420"/>
        <w:jc w:val="left"/>
      </w:pPr>
      <w:r>
        <w:rPr>
          <w:rFonts w:ascii="楷体_GB2312" w:hAnsi="楷体_GB2312" w:eastAsia="楷体_GB2312"/>
          <w:b w:val="0"/>
          <w:color w:val="000000"/>
          <w:sz w:val="32"/>
        </w:rPr>
        <w:t>（三）供应链金融适配性分析</w:t>
      </w:r>
    </w:p>
    <w:p>
      <w:pPr>
        <w:spacing w:lineRule="exact" w:line="600" w:before="0" w:after="0"/>
        <w:ind w:firstLine="420"/>
        <w:jc w:val="both"/>
      </w:pPr>
      <w:r>
        <w:rPr>
          <w:rFonts w:ascii="仿宋_GB2312" w:hAnsi="仿宋_GB2312" w:eastAsia="仿宋_GB2312"/>
          <w:b w:val="0"/>
          <w:color w:val="000000"/>
          <w:sz w:val="32"/>
        </w:rPr>
        <w:t>供应链金融方面，天元信息可作为配套方，依托下游核心客户的订单与应付确认开展订单融资与保理；亦可纳入东营数字经济集群的平台反向保理体系。</w:t>
      </w:r>
    </w:p>
    <w:p>
      <w:pPr>
        <w:spacing w:lineRule="exact" w:line="600" w:before="0" w:after="0"/>
        <w:ind w:firstLine="420"/>
        <w:jc w:val="both"/>
      </w:pPr>
      <w:r>
        <w:rPr>
          <w:rFonts w:ascii="仿宋_GB2312" w:hAnsi="仿宋_GB2312" w:eastAsia="仿宋_GB2312"/>
          <w:b w:val="0"/>
          <w:color w:val="000000"/>
          <w:sz w:val="32"/>
        </w:rPr>
        <w:t>供应链金融的核心是依托真实交易与核心企业信用，为链上中小企业提供融资。针对天元信息所处环节，可从两个方向设计：其一，若企业为链条核心企业，可依托其信用开展反向保理与电子债权凭证流转，帮助上游供应商提前回款，同时企业自身获得账期延长与采购议价空间；其二，若企业为链条上游或配套方，可依托下游核心企业的订单与应付确认开展订单融资、保理与存货（仓单）融资。两类方案均需以交易数据线上化为基础，实现合同、发票、物流单据与回款的四流合一验证。</w:t>
      </w:r>
    </w:p>
    <w:p>
      <w:pPr>
        <w:spacing w:lineRule="exact" w:line="600" w:before="120" w:after="120"/>
        <w:ind w:firstLine="420"/>
        <w:jc w:val="left"/>
      </w:pPr>
      <w:r>
        <w:rPr>
          <w:rFonts w:ascii="楷体_GB2312" w:hAnsi="楷体_GB2312" w:eastAsia="楷体_GB2312"/>
          <w:b w:val="0"/>
          <w:color w:val="000000"/>
          <w:sz w:val="32"/>
        </w:rPr>
        <w:t>（四）融资租赁适配性分析</w:t>
      </w:r>
    </w:p>
    <w:p>
      <w:pPr>
        <w:spacing w:lineRule="exact" w:line="600" w:before="0" w:after="0"/>
        <w:ind w:firstLine="420"/>
        <w:jc w:val="both"/>
      </w:pPr>
      <w:r>
        <w:rPr>
          <w:rFonts w:ascii="仿宋_GB2312" w:hAnsi="仿宋_GB2312" w:eastAsia="仿宋_GB2312"/>
          <w:b w:val="0"/>
          <w:color w:val="000000"/>
          <w:sz w:val="32"/>
        </w:rPr>
        <w:t>融资租赁方面，测绘企业设备密集度中等，可通过直租更新测绘与无人机设备、通过售后回租盘活通用设备补充中长期资金。风控要点在于设备通用性与可处置性。</w:t>
      </w:r>
    </w:p>
    <w:p>
      <w:pPr>
        <w:spacing w:lineRule="exact" w:line="600" w:before="0" w:after="0"/>
        <w:ind w:firstLine="420"/>
        <w:jc w:val="both"/>
      </w:pPr>
      <w:r>
        <w:rPr>
          <w:rFonts w:ascii="仿宋_GB2312" w:hAnsi="仿宋_GB2312" w:eastAsia="仿宋_GB2312"/>
          <w:b w:val="0"/>
          <w:color w:val="000000"/>
          <w:sz w:val="32"/>
        </w:rPr>
        <w:t>天元信息属于轻资产型企业，可用于租赁的实物标的有限，融资租赁的适配性弱于制造业企业。若确有需求，可考虑以服务器、存储、网络与信息安全设备等IT基础设施为标的开展直租或回租，但需注意该类设备技术更新快、残值折损快，租期宜控制在三年以内并提高保证金比例；更适配的工具是知识产权质押贷款、订单与中标通知书融资以及投贷联动安排。</w:t>
      </w:r>
    </w:p>
    <w:p>
      <w:pPr>
        <w:spacing w:lineRule="exact" w:line="600" w:before="120" w:after="120"/>
        <w:ind w:firstLine="420"/>
        <w:jc w:val="left"/>
      </w:pPr>
      <w:r>
        <w:rPr>
          <w:rFonts w:ascii="楷体_GB2312" w:hAnsi="楷体_GB2312" w:eastAsia="楷体_GB2312"/>
          <w:b w:val="0"/>
          <w:color w:val="000000"/>
          <w:sz w:val="32"/>
        </w:rPr>
        <w:t>（五）小额贷款适配性分析</w:t>
      </w:r>
    </w:p>
    <w:p>
      <w:pPr>
        <w:spacing w:lineRule="exact" w:line="600" w:before="0" w:after="0"/>
        <w:ind w:firstLine="420"/>
        <w:jc w:val="both"/>
      </w:pPr>
      <w:r>
        <w:rPr>
          <w:rFonts w:ascii="仿宋_GB2312" w:hAnsi="仿宋_GB2312" w:eastAsia="仿宋_GB2312"/>
          <w:b w:val="0"/>
          <w:color w:val="000000"/>
          <w:sz w:val="32"/>
        </w:rPr>
        <w:t>小额贷款方面，适配于天元信息链上配套小微企业的应急周转与批量普惠授信，成本高于银行信贷，不宜作为长期主渠道。</w:t>
      </w:r>
    </w:p>
    <w:p>
      <w:pPr>
        <w:spacing w:lineRule="exact" w:line="600" w:before="0" w:after="0"/>
        <w:ind w:firstLine="420"/>
        <w:jc w:val="both"/>
      </w:pPr>
      <w:r>
        <w:rPr>
          <w:rFonts w:ascii="仿宋_GB2312" w:hAnsi="仿宋_GB2312" w:eastAsia="仿宋_GB2312"/>
          <w:b w:val="0"/>
          <w:color w:val="000000"/>
          <w:sz w:val="32"/>
        </w:rPr>
        <w:t>小额贷款公司具有决策链条短、放款速度快、抵押要求相对灵活的优势，适用于三类场景：一是应急周转，用于弥补银行贷款审批期间的资金缺口或临时性支付需求，期限通常三至六个月；二是链上小微配套企业融资，围绕天元信息的上下游配套商、经销商与物流服务商开展批量化、标准化小额授信；三是员工与个体经营类需求的普惠覆盖。该类融资成本高于银行信贷，不宜作为长期主渠道，使用中应严格控制规模与期限，避免形成高成本债务滚动依赖。</w:t>
      </w:r>
    </w:p>
    <w:p>
      <w:pPr>
        <w:spacing w:lineRule="exact" w:line="600" w:before="120" w:after="120"/>
        <w:ind w:firstLine="420"/>
        <w:jc w:val="left"/>
      </w:pPr>
      <w:r>
        <w:rPr>
          <w:rFonts w:ascii="楷体_GB2312" w:hAnsi="楷体_GB2312" w:eastAsia="楷体_GB2312"/>
          <w:b w:val="0"/>
          <w:color w:val="000000"/>
          <w:sz w:val="32"/>
        </w:rPr>
        <w:t>（六）方案组合建议与风控要点</w:t>
      </w:r>
    </w:p>
    <w:p>
      <w:pPr>
        <w:spacing w:lineRule="exact" w:line="600" w:before="0" w:after="0"/>
        <w:ind w:firstLine="420"/>
        <w:jc w:val="both"/>
      </w:pPr>
      <w:r>
        <w:rPr>
          <w:rFonts w:ascii="仿宋_GB2312" w:hAnsi="仿宋_GB2312" w:eastAsia="仿宋_GB2312"/>
          <w:b w:val="0"/>
          <w:color w:val="000000"/>
          <w:sz w:val="32"/>
        </w:rPr>
        <w:t>综合上述分析，建议对天元信息采取"以自偿性贸易融资为主、普惠工具补充"的组合策略：营运资金缺口优先通过保理与供应链融资解决；设备更新可通过融资租赁支持。共通风控要点包括交易真实性核验、回款路径封闭管理及关联交易排查。</w:t>
      </w:r>
    </w:p>
    <w:p>
      <w:pPr>
        <w:spacing w:lineRule="exact" w:line="600" w:before="0" w:after="0"/>
        <w:ind w:firstLine="420"/>
        <w:jc w:val="both"/>
      </w:pPr>
      <w:r>
        <w:rPr>
          <w:rFonts w:ascii="仿宋_GB2312" w:hAnsi="仿宋_GB2312" w:eastAsia="仿宋_GB2312"/>
          <w:b w:val="0"/>
          <w:color w:val="000000"/>
          <w:sz w:val="32"/>
        </w:rPr>
        <w:t>综合上述分析，建议对天元信息采取"以自偿性贸易融资为主、中长期工具为辅、普惠工具补充"的组合策略：营运资金缺口优先通过保理与供应链融资解决，实现融资与真实交易的自偿闭环；技术改造与设备更新通过融资租赁解决，匹配资产寿命与现金流回收周期；临时性与链上小微需求通过小额贷款补充。共通风控要点包括：交易真实性核验（合同、发票、物流、回款四流比对）、回款路径封闭管理、关联交易与虚构贸易排查、集团与区域集中度管控、以及安全环保与重大诉讼事件的贷后持续监测。</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120" w:after="120"/>
        <w:ind w:firstLine="420"/>
        <w:jc w:val="left"/>
      </w:pPr>
      <w:r>
        <w:rPr>
          <w:rFonts w:ascii="楷体_GB2312" w:hAnsi="楷体_GB2312" w:eastAsia="楷体_GB2312"/>
          <w:b w:val="0"/>
          <w:color w:val="000000"/>
          <w:sz w:val="32"/>
        </w:rPr>
        <w:t>（一）综合评价</w:t>
      </w:r>
    </w:p>
    <w:p>
      <w:pPr>
        <w:spacing w:lineRule="exact" w:line="600" w:before="0" w:after="0"/>
        <w:ind w:firstLine="420"/>
        <w:jc w:val="both"/>
      </w:pPr>
      <w:r>
        <w:rPr>
          <w:rFonts w:ascii="仿宋_GB2312" w:hAnsi="仿宋_GB2312" w:eastAsia="仿宋_GB2312"/>
          <w:b w:val="0"/>
          <w:color w:val="000000"/>
          <w:sz w:val="32"/>
        </w:rPr>
        <w:t>天元信息是东营数字经济软件集群中地理信息与测绘软件的骨干企业，成立于2003年、注册资本6354.79万元、拥有甲级测绘资质与全国12家分子公司办事处，曾新三板挂牌(833685)。其资质壁垒与行业积淀构成核心价值，但非上市使其财务透明度有限。</w:t>
      </w:r>
    </w:p>
    <w:p>
      <w:pPr>
        <w:spacing w:lineRule="exact" w:line="600" w:before="120" w:after="120"/>
        <w:ind w:firstLine="420"/>
        <w:jc w:val="left"/>
      </w:pPr>
      <w:r>
        <w:rPr>
          <w:rFonts w:ascii="楷体_GB2312" w:hAnsi="楷体_GB2312" w:eastAsia="楷体_GB2312"/>
          <w:b w:val="0"/>
          <w:color w:val="000000"/>
          <w:sz w:val="32"/>
        </w:rPr>
        <w:t>（二）发展展望</w:t>
      </w:r>
    </w:p>
    <w:p>
      <w:pPr>
        <w:spacing w:lineRule="exact" w:line="600" w:before="0" w:after="0"/>
        <w:ind w:firstLine="420"/>
        <w:jc w:val="both"/>
      </w:pPr>
      <w:r>
        <w:rPr>
          <w:rFonts w:ascii="仿宋_GB2312" w:hAnsi="仿宋_GB2312" w:eastAsia="仿宋_GB2312"/>
          <w:b w:val="0"/>
          <w:color w:val="000000"/>
          <w:sz w:val="32"/>
        </w:rPr>
        <w:t>展望未来，在数字中国与智慧城市长期趋势下，天元信息依托甲级测绘资质、油田特色技术与全国布局，有望在地理信息与空间软件领域扩大份额。建议关注其项目获取与回款改善进度。</w:t>
      </w:r>
    </w:p>
    <w:p>
      <w:pPr>
        <w:spacing w:lineRule="exact" w:line="600" w:before="120" w:after="120"/>
        <w:ind w:firstLine="420"/>
        <w:jc w:val="left"/>
      </w:pPr>
      <w:r>
        <w:rPr>
          <w:rFonts w:ascii="楷体_GB2312" w:hAnsi="楷体_GB2312" w:eastAsia="楷体_GB2312"/>
          <w:b w:val="0"/>
          <w:color w:val="000000"/>
          <w:sz w:val="32"/>
        </w:rPr>
        <w:t>（三）对企业的建议</w:t>
      </w:r>
    </w:p>
    <w:p>
      <w:pPr>
        <w:spacing w:lineRule="exact" w:line="600" w:before="0" w:after="0"/>
        <w:ind w:firstLine="420"/>
        <w:jc w:val="both"/>
      </w:pPr>
      <w:r>
        <w:rPr>
          <w:rFonts w:ascii="仿宋_GB2312" w:hAnsi="仿宋_GB2312" w:eastAsia="仿宋_GB2312"/>
          <w:b w:val="0"/>
          <w:color w:val="000000"/>
          <w:sz w:val="32"/>
        </w:rPr>
        <w:t>建议天元信息在三个方面持续改进：一是提升财务与经营数据的规范性与可核查性；二是优化债务结构，避免短贷长用；三是强化数据安全与涉密合规基础管理。</w:t>
      </w:r>
    </w:p>
    <w:p>
      <w:pPr>
        <w:spacing w:lineRule="exact" w:line="600" w:before="0" w:after="0"/>
        <w:ind w:firstLine="420"/>
        <w:jc w:val="both"/>
      </w:pPr>
      <w:r>
        <w:rPr>
          <w:rFonts w:ascii="仿宋_GB2312" w:hAnsi="仿宋_GB2312" w:eastAsia="仿宋_GB2312"/>
          <w:b w:val="0"/>
          <w:color w:val="000000"/>
          <w:sz w:val="32"/>
        </w:rPr>
        <w:t>此外，建议天元信息在三个方面持续改进：一是提升财务与经营数据的规范性与可核查性，完善审计、内控与信息系统建设，为获得更低成本、更长期限的融资创造条件；二是优化债务结构与期限匹配，避免以短期资金支撑长期投入；三是强化安全环保与质量合规基础管理，把合规能力转化为可持续的竞争优势。</w:t>
      </w:r>
    </w:p>
    <w:p>
      <w:pPr>
        <w:spacing w:lineRule="exact" w:line="600" w:before="120" w:after="120"/>
        <w:ind w:firstLine="420"/>
        <w:jc w:val="left"/>
      </w:pPr>
      <w:r>
        <w:rPr>
          <w:rFonts w:ascii="楷体_GB2312" w:hAnsi="楷体_GB2312" w:eastAsia="楷体_GB2312"/>
          <w:b w:val="0"/>
          <w:color w:val="000000"/>
          <w:sz w:val="32"/>
        </w:rPr>
        <w:t>（四）对金融机构的建议</w:t>
      </w:r>
    </w:p>
    <w:p>
      <w:pPr>
        <w:spacing w:lineRule="exact" w:line="600" w:before="0" w:after="0"/>
        <w:ind w:firstLine="420"/>
        <w:jc w:val="both"/>
      </w:pPr>
      <w:r>
        <w:rPr>
          <w:rFonts w:ascii="仿宋_GB2312" w:hAnsi="仿宋_GB2312" w:eastAsia="仿宋_GB2312"/>
          <w:b w:val="0"/>
          <w:color w:val="000000"/>
          <w:sz w:val="32"/>
        </w:rPr>
        <w:t>对金融机构而言，服务天元信息应立足"看资质、看项目、看客户"思路，以订单融资与供应链金融为抓手服务其项目执行需求，并在区域与行业集中度上设置合理上限。</w:t>
      </w:r>
    </w:p>
    <w:p>
      <w:pPr>
        <w:spacing w:lineRule="exact" w:line="600" w:before="0" w:after="0"/>
        <w:ind w:firstLine="420"/>
        <w:jc w:val="both"/>
      </w:pPr>
      <w:r>
        <w:rPr>
          <w:rFonts w:ascii="仿宋_GB2312" w:hAnsi="仿宋_GB2312" w:eastAsia="仿宋_GB2312"/>
          <w:b w:val="0"/>
          <w:color w:val="000000"/>
          <w:sz w:val="32"/>
        </w:rPr>
        <w:t>总体而言，服务东营经济技术开发区数字经济软件信息特色产业集群的金融机构应确立"看集群、看链条、看场景"的思路：以集群为单位开展行业研究与名单制营销，以链条为单位设计批量化金融方案，以真实交易场景为基础实施自偿性风控，并在区域与行业集中度上设置合理上限，实现支持实体经济与守住风险底线的统一。</w:t>
      </w:r>
    </w:p>
    <w:p>
      <w:pPr>
        <w:spacing w:lineRule="exact" w:line="600" w:before="120" w:after="120"/>
        <w:ind w:firstLine="420"/>
        <w:jc w:val="left"/>
      </w:pPr>
      <w:r>
        <w:rPr>
          <w:rFonts w:ascii="黑体" w:hAnsi="黑体" w:eastAsia="黑体"/>
          <w:b w:val="0"/>
          <w:color w:val="000000"/>
          <w:sz w:val="32"/>
        </w:rPr>
        <w:t>数据来源说明</w:t>
      </w:r>
    </w:p>
    <w:p>
      <w:pPr>
        <w:spacing w:lineRule="exact" w:line="600" w:before="0" w:after="0"/>
        <w:jc w:val="left"/>
      </w:pPr>
      <w:r>
        <w:rPr>
          <w:rFonts w:ascii="仿宋_GB2312" w:hAnsi="仿宋_GB2312" w:eastAsia="仿宋_GB2312"/>
          <w:b w:val="0"/>
          <w:color w:val="000000"/>
          <w:sz w:val="28"/>
        </w:rPr>
        <w:t>国家企业信用信息公示系统及天眼查公开工商信息。</w:t>
      </w:r>
    </w:p>
    <w:p>
      <w:pPr>
        <w:spacing w:lineRule="exact" w:line="600" w:before="0" w:after="0"/>
        <w:jc w:val="left"/>
      </w:pPr>
      <w:r>
        <w:rPr>
          <w:rFonts w:ascii="仿宋_GB2312" w:hAnsi="仿宋_GB2312" w:eastAsia="仿宋_GB2312"/>
          <w:b w:val="0"/>
          <w:color w:val="000000"/>
          <w:sz w:val="28"/>
        </w:rPr>
        <w:t>山东天元信息技术股份有限公司公开招聘与企业简介资料。</w:t>
      </w:r>
    </w:p>
    <w:p>
      <w:pPr>
        <w:spacing w:lineRule="exact" w:line="600" w:before="0" w:after="0"/>
        <w:jc w:val="left"/>
      </w:pPr>
      <w:r>
        <w:rPr>
          <w:rFonts w:ascii="仿宋_GB2312" w:hAnsi="仿宋_GB2312" w:eastAsia="仿宋_GB2312"/>
          <w:b w:val="0"/>
          <w:color w:val="000000"/>
          <w:sz w:val="28"/>
        </w:rPr>
        <w:t>东营经济技术开发区公开产业介绍材料（2024）。</w:t>
      </w:r>
    </w:p>
    <w:p>
      <w:pPr>
        <w:spacing w:lineRule="exact" w:line="600" w:before="0" w:after="0"/>
        <w:jc w:val="left"/>
      </w:pPr>
      <w:r>
        <w:rPr>
          <w:rFonts w:ascii="仿宋_GB2312" w:hAnsi="仿宋_GB2312" w:eastAsia="仿宋_GB2312"/>
          <w:b w:val="0"/>
          <w:color w:val="000000"/>
          <w:sz w:val="28"/>
        </w:rPr>
        <w:t>本报告所引用的产能、产值、市场份额、财务等数据，均来源于上述公开渠道；凡公开渠道未披露的事项，报告中已明确标注"未公开披露"，未作任何推测或估算。报告中的分析判断为基于公开信息的专业意见，不构成投资、授信或其他决策的直接依据；实际业务开展前，应以企业提供的一手资料和现场尽职调查结论为准。</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