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东营经济技术开发区数字经济软件信息特色产业集群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山东胜软科技股份有限公司企业分析报告</w:t>
      </w:r>
    </w:p>
    <w:p>
      <w:pPr>
        <w:spacing w:lineRule="exact" w:line="600" w:before="0" w:after="0"/>
        <w:jc w:val="left"/>
      </w:pPr>
      <w:r>
        <w:rPr>
          <w:rFonts w:ascii="仿宋_GB2312" w:hAnsi="仿宋_GB2312" w:eastAsia="仿宋_GB2312"/>
          <w:b w:val="0"/>
          <w:color w:val="000000"/>
          <w:sz w:val="28"/>
        </w:rPr>
        <w:t>（本报告依据山东胜软科技股份有限公司公开披露的年报、招股相关公开信息及权威媒体报道编制，涉及未公开披露事项均如实标注，用于产业集群代表企业分析参考。）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山东胜软科技股份有限公司</w:t>
            </w:r>
          </w:p>
        </w:tc>
      </w:tr>
      <w:tr>
        <w:tc>
          <w:tcPr>
            <w:tcW w:type="dxa" w:w="2381"/>
          </w:tcPr>
          <w:p>
            <w:pPr>
              <w:spacing w:lineRule="exact" w:line="600"/>
              <w:jc w:val="center"/>
            </w:pPr>
            <w:r/>
            <w:r>
              <w:rPr>
                <w:rFonts w:ascii="仿宋_GB2312" w:hAnsi="仿宋_GB2312" w:eastAsia="仿宋_GB2312"/>
                <w:b w:val="0"/>
                <w:color w:val="000000"/>
                <w:sz w:val="32"/>
              </w:rPr>
              <w:t>证券简称及代码</w:t>
            </w:r>
          </w:p>
        </w:tc>
        <w:tc>
          <w:tcPr>
            <w:tcW w:type="dxa" w:w="6463"/>
          </w:tcPr>
          <w:p>
            <w:pPr>
              <w:spacing w:lineRule="exact" w:line="600"/>
              <w:jc w:val="center"/>
            </w:pPr>
            <w:r/>
            <w:r>
              <w:rPr>
                <w:rFonts w:ascii="仿宋_GB2312" w:hAnsi="仿宋_GB2312" w:eastAsia="仿宋_GB2312"/>
                <w:b w:val="0"/>
                <w:color w:val="000000"/>
                <w:sz w:val="32"/>
              </w:rPr>
              <w:t>胜软科技（833339，新三板挂牌）</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东营市东营经济技术开发区（悦来湖数字经济产业园）</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东营经济技术开发区数字经济软件信息特色产业集群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石油石化工业软件与数据服务</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云帆工业互联网平台、识油大模型、石油工程智能决策系统</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资本市场</w:t>
            </w:r>
          </w:p>
        </w:tc>
        <w:tc>
          <w:tcPr>
            <w:tcW w:type="dxa" w:w="6463"/>
          </w:tcPr>
          <w:p>
            <w:pPr>
              <w:spacing w:lineRule="exact" w:line="600"/>
              <w:jc w:val="center"/>
            </w:pPr>
            <w:r/>
            <w:r>
              <w:rPr>
                <w:rFonts w:ascii="仿宋_GB2312" w:hAnsi="仿宋_GB2312" w:eastAsia="仿宋_GB2312"/>
                <w:b w:val="0"/>
                <w:color w:val="000000"/>
                <w:sz w:val="32"/>
              </w:rPr>
              <w:t>新三板挂牌（833339），正冲刺港股上市</w:t>
            </w:r>
          </w:p>
        </w:tc>
      </w:tr>
      <w:tr>
        <w:tc>
          <w:tcPr>
            <w:tcW w:type="dxa" w:w="2381"/>
          </w:tcPr>
          <w:p>
            <w:pPr>
              <w:spacing w:lineRule="exact" w:line="600"/>
              <w:jc w:val="center"/>
            </w:pPr>
            <w:r/>
            <w:r>
              <w:rPr>
                <w:rFonts w:ascii="仿宋_GB2312" w:hAnsi="仿宋_GB2312" w:eastAsia="仿宋_GB2312"/>
                <w:b w:val="0"/>
                <w:color w:val="000000"/>
                <w:sz w:val="32"/>
              </w:rPr>
              <w:t>行业地位</w:t>
            </w:r>
          </w:p>
        </w:tc>
        <w:tc>
          <w:tcPr>
            <w:tcW w:type="dxa" w:w="6463"/>
          </w:tcPr>
          <w:p>
            <w:pPr>
              <w:spacing w:lineRule="exact" w:line="600"/>
              <w:jc w:val="center"/>
            </w:pPr>
            <w:r/>
            <w:r>
              <w:rPr>
                <w:rFonts w:ascii="仿宋_GB2312" w:hAnsi="仿宋_GB2312" w:eastAsia="仿宋_GB2312"/>
                <w:b w:val="0"/>
                <w:color w:val="000000"/>
                <w:sz w:val="32"/>
              </w:rPr>
              <w:t>国内油气领域最大的民营软件与信息技术服务商</w:t>
            </w:r>
          </w:p>
        </w:tc>
      </w:tr>
    </w:tbl>
    <w:p>
      <w:pPr>
        <w:spacing w:lineRule="exact" w:line="600" w:before="0" w:after="0"/>
        <w:ind w:firstLine="420"/>
        <w:jc w:val="both"/>
      </w:pPr>
      <w:r>
        <w:rPr>
          <w:rFonts w:ascii="仿宋_GB2312" w:hAnsi="仿宋_GB2312" w:eastAsia="仿宋_GB2312"/>
          <w:b w:val="0"/>
          <w:color w:val="000000"/>
          <w:sz w:val="32"/>
        </w:rPr>
        <w:t>山东胜软科技股份有限公司是国内油气领域最大的民营软件与信息技术服务商，位于东营经济技术开发区悦来湖数字经济产业园，是新浪集群的数字经济软件龙头。公司构建云帆工业互联网平台（国家级双跨平台），并推出识油大模型2.0，积累5亿字节油气行业语料库、落地20余个行业应用，正冲刺港股上市。</w:t>
      </w:r>
    </w:p>
    <w:p>
      <w:pPr>
        <w:spacing w:lineRule="exact" w:line="600" w:before="0" w:after="0"/>
        <w:ind w:firstLine="420"/>
        <w:jc w:val="both"/>
      </w:pPr>
      <w:r>
        <w:rPr>
          <w:rFonts w:ascii="仿宋_GB2312" w:hAnsi="仿宋_GB2312" w:eastAsia="仿宋_GB2312"/>
          <w:b w:val="0"/>
          <w:color w:val="000000"/>
          <w:sz w:val="32"/>
        </w:rPr>
        <w:t>在工商登记信息方面，公司成立时间、法定代表人、统一社会信用代码等基础事项以国家企业信用信息公示系统及公开披露信息为准。作为新三板挂牌公司（833339），其登记与披露信息相对完备，实际开展业务时应以营业执照、公司章程、股东名册及定期报告为核验依据。</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披露，胜软科技为民营控股的新三板挂牌企业（833339），是国内油气领域最大的民营软件与信息技术服务商，正冲刺港股上市。公司重大投资、关联交易等事项须遵循新三板信息披露规范，并受证监会与交易所（港股）监管衔接，治理与内控相对规范、信息可得性较好。</w:t>
      </w:r>
    </w:p>
    <w:p>
      <w:pPr>
        <w:spacing w:lineRule="exact" w:line="600" w:before="0" w:after="0"/>
        <w:ind w:firstLine="420"/>
        <w:jc w:val="both"/>
      </w:pPr>
      <w:r>
        <w:rPr>
          <w:rFonts w:ascii="仿宋_GB2312" w:hAnsi="仿宋_GB2312" w:eastAsia="仿宋_GB2312"/>
          <w:b w:val="0"/>
          <w:color w:val="000000"/>
          <w:sz w:val="32"/>
        </w:rPr>
        <w:t>从出资人属性看，公司属于民营控股企业序列，民营资本的出资人代表依法行使股东权利，企业市场化程度高、决策链条相对灵活。民营控股属性一方面使企业在激励机制与反应速度上具备优势；另一方面也决定了实控人个人风险与企业风险存在一定绑定，建议在尽调中核查实控人股权质押与对外担保情况。</w:t>
      </w:r>
    </w:p>
    <w:p>
      <w:pPr>
        <w:spacing w:lineRule="exact" w:line="600" w:before="0" w:after="0"/>
        <w:ind w:firstLine="420"/>
        <w:jc w:val="both"/>
      </w:pPr>
      <w:r>
        <w:rPr>
          <w:rFonts w:ascii="仿宋_GB2312" w:hAnsi="仿宋_GB2312" w:eastAsia="仿宋_GB2312"/>
          <w:b w:val="0"/>
          <w:color w:val="000000"/>
          <w:sz w:val="32"/>
        </w:rPr>
        <w:t>从出资人属性看，胜软科技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胜软科技的发展与东营油气产业数字化转型深度绑定。公司是国内油气领域最大的民营软件与信息技术服务商，构建云帆工业互联网平台（国家级双跨平台），并推出识油大模型2.0，积累5亿字节油气行业语料库、落地20余个行业应用，客户覆盖中石化、胜利油田及地方炼化企业。</w:t>
      </w:r>
    </w:p>
    <w:p>
      <w:pPr>
        <w:spacing w:lineRule="exact" w:line="600" w:before="0" w:after="0"/>
        <w:ind w:firstLine="420"/>
        <w:jc w:val="both"/>
      </w:pPr>
      <w:r>
        <w:rPr>
          <w:rFonts w:ascii="仿宋_GB2312" w:hAnsi="仿宋_GB2312" w:eastAsia="仿宋_GB2312"/>
          <w:b w:val="0"/>
          <w:color w:val="000000"/>
          <w:sz w:val="32"/>
        </w:rPr>
        <w:t>在业绩端，公司2024年营业收入5.25亿元、净利润5929.79万元，拥有发明专利12项、软件著作权300余项，正冲刺港股上市。公司从区域软件服务商成长为油气工业软件龙头，并承建东营城市大脑与多处智慧城市应用场景，业务由油气垂直向城市级数据服务延伸。</w:t>
      </w:r>
    </w:p>
    <w:p>
      <w:pPr>
        <w:spacing w:lineRule="exact" w:line="600" w:before="0" w:after="0"/>
        <w:ind w:firstLine="420"/>
        <w:jc w:val="both"/>
      </w:pPr>
      <w:r>
        <w:rPr>
          <w:rFonts w:ascii="仿宋_GB2312" w:hAnsi="仿宋_GB2312" w:eastAsia="仿宋_GB2312"/>
          <w:b w:val="0"/>
          <w:color w:val="000000"/>
          <w:sz w:val="32"/>
        </w:rPr>
        <w:t>总体看，胜软科技的发展轨迹与软件与信息技术服务行业演进和东营经济技术开发区数字经济软件信息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石油石化工业软件与数据服务环节，是国内油气领域最大的民营软件与信息技术服务商，云帆工业互联网平台为国家级双跨平台，识油大模型2.0落地20余个行业应用，客户覆盖中石化、胜利油田等。</w:t>
      </w:r>
    </w:p>
    <w:p>
      <w:pPr>
        <w:spacing w:lineRule="exact" w:line="600" w:before="0" w:after="0"/>
        <w:ind w:firstLine="420"/>
        <w:jc w:val="both"/>
      </w:pPr>
      <w:r>
        <w:rPr>
          <w:rFonts w:ascii="仿宋_GB2312" w:hAnsi="仿宋_GB2312" w:eastAsia="仿宋_GB2312"/>
          <w:b w:val="0"/>
          <w:color w:val="000000"/>
          <w:sz w:val="32"/>
        </w:rPr>
        <w:t>上述份额与客户数据来自企业与行业公开报道，建议通过下游客户采购情况交叉验证。</w:t>
      </w:r>
    </w:p>
    <w:p>
      <w:pPr>
        <w:spacing w:lineRule="exact" w:line="600" w:before="0" w:after="0"/>
        <w:ind w:firstLine="420"/>
        <w:jc w:val="both"/>
      </w:pPr>
      <w:r>
        <w:rPr>
          <w:rFonts w:ascii="仿宋_GB2312" w:hAnsi="仿宋_GB2312" w:eastAsia="仿宋_GB2312"/>
          <w:b w:val="0"/>
          <w:color w:val="000000"/>
          <w:sz w:val="32"/>
        </w:rPr>
        <w:t>在东营经济技术开发区数字经济软件信息特色产业集群的产业链分工中，胜软科技处于"石油石化工业软件与数据服务"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核心产品包括石油工程智能决策指挥系统、云帆工业互联网平台（国家级双跨）与识油大模型2.0（5亿字节语料库、20余个应用），并提供智慧城市与政务信息化系统集成服务。云帆平台上云企业超1000家、接入设备超10万台套，是东营数据服务与系统集成领域的龙头平台。</w:t>
      </w:r>
    </w:p>
    <w:p>
      <w:pPr>
        <w:spacing w:lineRule="exact" w:line="600" w:before="0" w:after="0"/>
        <w:ind w:firstLine="420"/>
        <w:jc w:val="both"/>
      </w:pPr>
      <w:r>
        <w:rPr>
          <w:rFonts w:ascii="仿宋_GB2312" w:hAnsi="仿宋_GB2312" w:eastAsia="仿宋_GB2312"/>
          <w:b w:val="0"/>
          <w:color w:val="000000"/>
          <w:sz w:val="32"/>
        </w:rPr>
        <w:t>各产品线的收入、毛利率数据未逐项公开，建议在尽调中重点获取分产品财务序列与平台运营指标。</w:t>
      </w:r>
    </w:p>
    <w:p>
      <w:pPr>
        <w:spacing w:lineRule="exact" w:line="600" w:before="0" w:after="0"/>
        <w:ind w:firstLine="420"/>
        <w:jc w:val="both"/>
      </w:pPr>
      <w:r>
        <w:rPr>
          <w:rFonts w:ascii="仿宋_GB2312" w:hAnsi="仿宋_GB2312" w:eastAsia="仿宋_GB2312"/>
          <w:b w:val="0"/>
          <w:color w:val="000000"/>
          <w:sz w:val="32"/>
        </w:rPr>
        <w:t>从业务结构的稳健性看，评价胜软科技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公司作为软件与信息技术企业，核心资产为人才与知识产权，产能表现为研发与交付能力。数字经济行业属于资质与认证密集行业，平台与系统有效性取决于等保测评、软件企业认定、CMMI及涉密资质等。</w:t>
      </w:r>
    </w:p>
    <w:p>
      <w:pPr>
        <w:spacing w:lineRule="exact" w:line="600" w:before="0" w:after="0"/>
        <w:ind w:firstLine="420"/>
        <w:jc w:val="both"/>
      </w:pPr>
      <w:r>
        <w:rPr>
          <w:rFonts w:ascii="仿宋_GB2312" w:hAnsi="仿宋_GB2312" w:eastAsia="仿宋_GB2312"/>
          <w:b w:val="0"/>
          <w:color w:val="000000"/>
          <w:sz w:val="32"/>
        </w:rPr>
        <w:t>资质方面，公司拥有软件著作权300余项、发明专利12项，云帆平台为国家级双跨工业互联网平台。具体资质与有效期未公开披露，建议逐项核查。</w:t>
      </w:r>
    </w:p>
    <w:p>
      <w:pPr>
        <w:spacing w:lineRule="exact" w:line="600" w:before="0" w:after="0"/>
        <w:ind w:firstLine="420"/>
        <w:jc w:val="both"/>
      </w:pPr>
      <w:r>
        <w:rPr>
          <w:rFonts w:ascii="仿宋_GB2312" w:hAnsi="仿宋_GB2312" w:eastAsia="仿宋_GB2312"/>
          <w:b w:val="0"/>
          <w:color w:val="000000"/>
          <w:sz w:val="32"/>
        </w:rPr>
        <w:t>软件与信息技术服务企业的"产能"主要表现为可交付的研发与实施人力规模、产品化程度以及平台承载能力。产品化率越高，单位人力可支撑的收入规模越大、毛利率越稳定；反之，若收入高度依赖定制开发与现场实施，人力成本刚性将压制利润弹性。资质方面，软件著作权、CMMI能力成熟度、ISO27001信息安全管理、等级保护测评、涉密信息系统集成资质以及行业主管单位的入围资格，共同构成投标与承接项目的必要条件。</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公司客户为中石化、胜利油田及地方炼化企业、政府及公共机构，客户信用等级高但账期较长、且政企项目结算受预算周期影响。</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公司前五大客户名称、销售金额、账期及应收账款账龄结构未公开披露。建议重点关注客户集中度与回款质量，特别是政企项目的验收与回款节奏。</w:t>
      </w:r>
    </w:p>
    <w:p>
      <w:pPr>
        <w:spacing w:lineRule="exact" w:line="600" w:before="0" w:after="0"/>
        <w:ind w:firstLine="420"/>
        <w:jc w:val="both"/>
      </w:pPr>
      <w:r>
        <w:rPr>
          <w:rFonts w:ascii="仿宋_GB2312" w:hAnsi="仿宋_GB2312" w:eastAsia="仿宋_GB2312"/>
          <w:b w:val="0"/>
          <w:color w:val="000000"/>
          <w:sz w:val="32"/>
        </w:rPr>
        <w:t>客户结构是判断胜软科技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公司主要采购为云服务、算力与软硬件外包，供应相对分散、市场化程度高。</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主要供应商名单、采购集中度与库存周转未公开披露。建议核查关键算力与云资源的供应安全与成本结构。</w:t>
      </w:r>
    </w:p>
    <w:p>
      <w:pPr>
        <w:spacing w:lineRule="exact" w:line="600" w:before="0" w:after="0"/>
        <w:ind w:firstLine="420"/>
        <w:jc w:val="both"/>
      </w:pPr>
      <w:r>
        <w:rPr>
          <w:rFonts w:ascii="仿宋_GB2312" w:hAnsi="仿宋_GB2312" w:eastAsia="仿宋_GB2312"/>
          <w:b w:val="0"/>
          <w:color w:val="000000"/>
          <w:sz w:val="32"/>
        </w:rPr>
        <w:t>软件企业的"采购"主要包括第三方基础软件授权、云资源、硬件集成设备及外协开发服务。硬件集成占比高的项目毛利率明显低于纯软件项目，且会放大垫资规模；外协开发有助于应对交付高峰，但需防范代码质量、知识产权归属与信息安全风险。建议核查外协比例、主要外协单位资质、知识产权归属约定以及基础软件授权的合规性。</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据公开数据，东营经开区2024年数字经济核心产业增加值增速148%、入驻数字企业648家、集聚数字人才5000余名、首版次软件产品累计42件、东营市算力中心一期算力23P。胜软科技为其中龙头企业。</w:t>
      </w:r>
    </w:p>
    <w:p>
      <w:pPr>
        <w:spacing w:lineRule="exact" w:line="600" w:before="0" w:after="0"/>
        <w:ind w:firstLine="420"/>
        <w:jc w:val="both"/>
      </w:pPr>
      <w:r>
        <w:rPr>
          <w:rFonts w:ascii="仿宋_GB2312" w:hAnsi="仿宋_GB2312" w:eastAsia="仿宋_GB2312"/>
          <w:b w:val="0"/>
          <w:color w:val="000000"/>
          <w:sz w:val="32"/>
        </w:rPr>
        <w:t>竞争格局方面，工业软件与油气垂直软件参与者增多，胜软科技需在行业大模型与平台生态上构筑非价格竞争优势。</w:t>
      </w:r>
    </w:p>
    <w:p>
      <w:pPr>
        <w:spacing w:lineRule="exact" w:line="600" w:before="0" w:after="0"/>
        <w:ind w:firstLine="420"/>
        <w:jc w:val="both"/>
      </w:pPr>
      <w:r>
        <w:rPr>
          <w:rFonts w:ascii="仿宋_GB2312" w:hAnsi="仿宋_GB2312" w:eastAsia="仿宋_GB2312"/>
          <w:b w:val="0"/>
          <w:color w:val="000000"/>
          <w:sz w:val="32"/>
        </w:rPr>
        <w:t>判断胜软科技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虽为新三板挂牌企业（833339），近三年完整财务序列未在公开渠道充分披露，财务数据以已披露片段为主。可获取的替代指标为：2024年营业收入5.25亿元、净利润5929.79万元、拥有发明专利12项、软件著作权300余项、云帆平台为国家级双跨平台、识油大模型2.0落地20余个应用、客户覆盖中石化与胜利油田、正冲刺港股上市。</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依据上述替代指标可作初步判断：一是公司经营规模在区域软件企业中突出、盈利为正；二是轻资产特征明显、知识产权密集；三是具体经营规模与盈利需以企业一手财务资料为准。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胜软科技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公司2024年净利润5929.79万元，软件企业的盈利能力本质上由"人均产出+产品化率"驱动。作为拥有300余项软著与国家级双跨平台的企业，其产品化率与毛利水平在行业中具备相对优势，但需以规模支撑盈利稳定性。</w:t>
      </w:r>
    </w:p>
    <w:p>
      <w:pPr>
        <w:spacing w:lineRule="exact" w:line="600" w:before="0" w:after="0"/>
        <w:ind w:firstLine="420"/>
        <w:jc w:val="both"/>
      </w:pPr>
      <w:r>
        <w:rPr>
          <w:rFonts w:ascii="仿宋_GB2312" w:hAnsi="仿宋_GB2312" w:eastAsia="仿宋_GB2312"/>
          <w:b w:val="0"/>
          <w:color w:val="000000"/>
          <w:sz w:val="32"/>
        </w:rPr>
        <w:t>软件与信息服务企业的盈利能力高度依赖产品化率与项目管理水平。同一收入规模下，标准化产品与平台订阅收入的毛利率可达六成以上，而以硬件集成、现场实施为主的项目毛利率往往仅两三成。此外，人力成本是最大的刚性支出，收入增速一旦低于人员扩张速度，利润即被迅速摊薄；研发投入的资本化与费用化政策差异，也会显著影响利润表现。建议重点分析胜软科技的人均创收、项目毛利分布与研发投入结构。</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公司资产结构未公开披露。软件企业资产以货币资金、应收账款（政企项目账期较长）及无形资产（软著、专利）为主。建议核查应收账款账龄、存货（合同履约成本）及研发资本化合理性。</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公司负债结构未公开披露。作为轻资产软件企业，其融资以银行授信与股权融资为主，有息债务规模相对可控。建议核查授信品种、期限结构、关联方资金占用。</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胜软科技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公司现金流量数据未公开披露。建议获取近三年现金流量表与主要银行账户流水，验证销售回款的真实性与稳定性，特别是政企项目回款节奏。</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胜软科技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同业对标可选取工业软件与能源信息化上市企业作为参照，关注其毛利率、人均产出与经营现金流水平。需注意胜软科技为油气垂直领域民营龙头，与综合性工业软件企业差异较大。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作为民营控股的新三板挂牌公司，胜软科技须建立股东大会、董事会、监事会与经理层各司其职、有效制衡的治理结构，设立独立董事及专门委员会，并履行新三板信息披露义务。治理有效性的判断应考察制度实际运行与重大事项决策留痕。</w:t>
      </w:r>
    </w:p>
    <w:p>
      <w:pPr>
        <w:spacing w:lineRule="exact" w:line="600" w:before="0" w:after="0"/>
        <w:ind w:firstLine="420"/>
        <w:jc w:val="both"/>
      </w:pPr>
      <w:r>
        <w:rPr>
          <w:rFonts w:ascii="仿宋_GB2312" w:hAnsi="仿宋_GB2312" w:eastAsia="仿宋_GB2312"/>
          <w:b w:val="0"/>
          <w:color w:val="000000"/>
          <w:sz w:val="32"/>
        </w:rPr>
        <w:t>作为上市公司（或上市公司体系内主体），胜软科技须建立股东大会、董事会、监事会（或审计委员会）与经理层各司其职、有效制衡的治理结构，设立独立董事并在董事会下设审计、薪酬与考核、战略等专门委员会，制定并执行《公司章程》《三会议事规则》《关联交易管理制度》《对外担保管理制度》《信息披露管理制度》《内幕信息知情人登记制度》等规范。治理有效性的判断不应停留于制度是否齐备，而应考察制度的实际运行：独立董事是否发表过实质性异议、关联交易是否履行回避表决程序、内部审计是否独立向审计委员会报告、是否存在被监管部门问询、警示或处罚的记录。</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公司管理层由控股股东依照上市公司治理要求聘任，考核以经营业绩指标完成情况为主。民营控股属性使激励相对灵活，建议重点关注核心团队稳定性与激励机制落地，特别是研发与销售骨干的 retention。</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公司员工总数、学历与专业结构、参保人数未公开披露。作为软件企业，研发人员占比决定技术壁垒（拥有软著300余项、发明专利12项）。建议核查研发人员占比与流动率。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东营经济技术开发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公司内控体系应覆盖资金管理、采购与销售、项目交付、关联交易及信息系统等环节。作为软件与数据服务企业，其内控特殊性在于数据安全、知识产权保护与项目成本核算。建议核查其内控审计结论。</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油气工业软件与行业大模型上，云帆工业互联网平台为国家级双跨平台，识油大模型2.0积累5亿字节油气行业语料库、落地20余个行业应用。这类知识以行业know-how、语料与算法形式沉淀，需长期积累，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胜软科技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公司成本优势来源于平台化复用（云帆平台上云企业超1000家、接入设备超10万台套）带来的边际成本递减，以及东营园区与油气产业生态的人才与场景成本节约。属结构性优势。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B端大客户壁垒表现为能源企业与政府合格供应商认证与联合开发深度，进入需多轮审核与长期验证。胜软科技客户覆盖中石化、胜利油田，客户锁定扎实。</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东营数字经济软件集群为胜软科技提供了要素共享、知识溢出与市场匹配三类外部经济，特别是悦来湖数字经济产业园、648家数字企业、5000余名数字人才与23P算力的产业生态，以及油气产业的丰富应用场景。</w:t>
      </w:r>
    </w:p>
    <w:p>
      <w:pPr>
        <w:spacing w:lineRule="exact" w:line="600" w:before="0" w:after="0"/>
        <w:ind w:firstLine="420"/>
        <w:jc w:val="both"/>
      </w:pPr>
      <w:r>
        <w:rPr>
          <w:rFonts w:ascii="仿宋_GB2312" w:hAnsi="仿宋_GB2312" w:eastAsia="仿宋_GB2312"/>
          <w:b w:val="0"/>
          <w:color w:val="000000"/>
          <w:sz w:val="32"/>
        </w:rPr>
        <w:t>东营经济技术开发区数字经济软件信息特色产业集群为胜软科技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胜软科技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软件与信息技术服务业受下游油气与政企信息化预算、技术迭代多重影响。对胜软科技而言，油气行业资本开支波动与政企项目结算周期会传导至订单与回款；同时AI与大模型技术快速迭代亦带来产品更新压力。</w:t>
      </w:r>
    </w:p>
    <w:p>
      <w:pPr>
        <w:spacing w:lineRule="exact" w:line="600" w:before="0" w:after="0"/>
        <w:ind w:firstLine="420"/>
        <w:jc w:val="both"/>
      </w:pPr>
      <w:r>
        <w:rPr>
          <w:rFonts w:ascii="仿宋_GB2312" w:hAnsi="仿宋_GB2312" w:eastAsia="仿宋_GB2312"/>
          <w:b w:val="0"/>
          <w:color w:val="000000"/>
          <w:sz w:val="32"/>
        </w:rPr>
        <w:t>软件与信息技术服务业需求主要来自政府与国企的信息化投入、行业数字化转型预算。该类支出与财政状况、行业景气度密切相关，在财政收支紧平衡与业主资本开支收缩时期，项目延期立项、压缩规模、延后验收与付款的情形较为普遍，直接形成收入确认与回款的双重压力。同时人工智能大模型等新技术正重构软件交付范式，既是机会也可能使既有产品快速边缘化。</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竞争风险的现实表现是价格战与份额侵蚀。工业软件与能源信息化参与者增多，胜软科技需在行业大模型与平台生态上构筑非价格竞争优势。建议企业建立竞争情报跟踪机制。</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胜软科技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客户集中度方面，若收入依赖中石化、胜利油田等少数头部客户或政企项目，单一客户/项目变动会造成冲击。建议建立客户信用评级与额度管理，并运用信用保险、保理等工具转移风险。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供应链风险集中于云服务、算力与软硬件外包，市场化程度高、替代性强。建议核查关键算力与云资源的供应安全与成本结构。</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软件与数据服务企业的突出风险是数据安全与合规风险。合规要点包括网络安全等级保护、数据出境与个人信息保护、涉密资质管理等。建议将近三年网络安全与数据合规记录查询列为授信前置条件。</w:t>
      </w:r>
    </w:p>
    <w:p>
      <w:pPr>
        <w:spacing w:lineRule="exact" w:line="600" w:before="0" w:after="0"/>
        <w:ind w:firstLine="420"/>
        <w:jc w:val="both"/>
      </w:pPr>
      <w:r>
        <w:rPr>
          <w:rFonts w:ascii="仿宋_GB2312" w:hAnsi="仿宋_GB2312" w:eastAsia="仿宋_GB2312"/>
          <w:b w:val="0"/>
          <w:color w:val="000000"/>
          <w:sz w:val="32"/>
        </w:rPr>
        <w:t>软件企业合规风险集中于三方面：一是数据安全与个人信息保护，涉及《数据安全法》《个人信息保护法》及等级保护要求，政企项目尤需关注数据权属与出境限制；二是知识产权，包括开源协议合规、第三方组件授权与职务发明归属；三是招投标与商业行为合规，政企客户为主的业务结构对廉洁合规要求极高，一旦发生围标串标或商业贿赂事件，可能被列入失信名单并丧失投标资格。</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财务风险方面，作为轻资产企业，若依赖短期借款支撑运营与研发，易形成期限错配。建议金融机构重点监测应收账款账龄、票据融资占比及关联方资金往来等预警信号。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治理风险方面，作为民营控股新三板公司并冲刺港股，需平衡控股股东意志与中小股东利益、满足两地信披衔接。建议核查关联交易合规与重大事项决策留痕。</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胜软科技面临的主要风险集中于下游油气与政企预算波动、技术迭代竞争及客户集中度，但其国内油气民营软件龙头地位、国家级双跨平台与识油大模型构成较强风险缓冲。整体风险等级中等，对其授信应重点关注订单持续性与回款质量。</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从资金用途看，胜软科技的融资需求主要源于研发投入与营运资金：行业大模型与平台迭代需持续研发，政企项目需要周转资金；冲刺港股亦涉及资本运作资金安排。</w:t>
      </w:r>
    </w:p>
    <w:p>
      <w:pPr>
        <w:spacing w:lineRule="exact" w:line="600" w:before="0" w:after="0"/>
        <w:ind w:firstLine="420"/>
        <w:jc w:val="both"/>
      </w:pPr>
      <w:r>
        <w:rPr>
          <w:rFonts w:ascii="仿宋_GB2312" w:hAnsi="仿宋_GB2312" w:eastAsia="仿宋_GB2312"/>
          <w:b w:val="0"/>
          <w:color w:val="000000"/>
          <w:sz w:val="32"/>
        </w:rPr>
        <w:t>从资金用途看，胜软科技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商业保理方面，胜软科技对下游能源企业与政府的优质应收账款可作明保标的，但需做好基础资产确权与回款路径封闭管理。鉴于政企项目账期较长，可优先选择已验收结算的应收账款。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胜软科技，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供应链金融方面，胜软科技可作为配套方，依托下游核心客户的订单与应付确认开展订单融资与保理；亦可纳入东营数字经济集群的平台反向保理体系。</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胜软科技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融资租赁方面，软件企业设备密集度较低，融资租赁适配性弱于制造业；可针对算力服务器等通用设备开展直租或回租。风控要点在于设备通用性与可处置性。</w:t>
      </w:r>
    </w:p>
    <w:p>
      <w:pPr>
        <w:spacing w:lineRule="exact" w:line="600" w:before="0" w:after="0"/>
        <w:ind w:firstLine="420"/>
        <w:jc w:val="both"/>
      </w:pPr>
      <w:r>
        <w:rPr>
          <w:rFonts w:ascii="仿宋_GB2312" w:hAnsi="仿宋_GB2312" w:eastAsia="仿宋_GB2312"/>
          <w:b w:val="0"/>
          <w:color w:val="000000"/>
          <w:sz w:val="32"/>
        </w:rPr>
        <w:t>胜软科技属于轻资产型企业，可用于租赁的实物标的有限，融资租赁的适配性弱于制造业企业。若确有需求，可考虑以服务器、存储、网络与信息安全设备等IT基础设施为标的开展直租或回租，但需注意该类设备技术更新快、残值折损快，租期宜控制在三年以内并提高保证金比例；更适配的工具是知识产权质押贷款、订单与中标通知书融资以及投贷联动安排。</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小额贷款方面，适配于胜软科技链上配套小微企业的应急周转与批量普惠授信，成本高于银行信贷，不宜作为长期主渠道。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胜软科技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综合上述分析，建议对胜软科技采取"以自偿性贸易融资为主、股权与债权结合、普惠工具补充"的组合策略：营运资金缺口优先通过保理与供应链融资解决；研发与平台建设可通过银行授信与股权融资支持。</w:t>
      </w:r>
    </w:p>
    <w:p>
      <w:pPr>
        <w:spacing w:lineRule="exact" w:line="600" w:before="0" w:after="0"/>
        <w:ind w:firstLine="420"/>
        <w:jc w:val="both"/>
      </w:pPr>
      <w:r>
        <w:rPr>
          <w:rFonts w:ascii="仿宋_GB2312" w:hAnsi="仿宋_GB2312" w:eastAsia="仿宋_GB2312"/>
          <w:b w:val="0"/>
          <w:color w:val="000000"/>
          <w:sz w:val="32"/>
        </w:rPr>
        <w:t>综合上述分析，建议对胜软科技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胜软科技是国内油气领域最大的民营软件与信息技术服务商，新三板挂牌（833339）、正冲刺港股，2024年营收5.25亿元、净利5929.79万元，拥有云帆国家级双跨平台与识油大模型2.0，客户覆盖中石化与胜利油田。其行业壁垒与平台生态构成核心价值，但非上市财务透明度有限、客户集中度需关注。</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能源数字化与AI大模型长期趋势下，胜软科技依托油气垂直龙头地位、国家级双跨平台与识油大模型，并冲刺港股，有望在能源工业软件与城市数据服务领域扩大份额。建议关注其港股上市进展与模型商业化节奏。</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建议胜软科技在三个方面持续改进：一是提升财务与经营数据的规范性与可核查性；二是优化债务结构，避免短贷长用；三是强化数据安全与知识产权合规基础管理。</w:t>
      </w:r>
    </w:p>
    <w:p>
      <w:pPr>
        <w:spacing w:lineRule="exact" w:line="600" w:before="0" w:after="0"/>
        <w:ind w:firstLine="420"/>
        <w:jc w:val="both"/>
      </w:pPr>
      <w:r>
        <w:rPr>
          <w:rFonts w:ascii="仿宋_GB2312" w:hAnsi="仿宋_GB2312" w:eastAsia="仿宋_GB2312"/>
          <w:b w:val="0"/>
          <w:color w:val="000000"/>
          <w:sz w:val="32"/>
        </w:rPr>
        <w:t>此外，建议胜软科技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对金融机构而言，服务胜软科技应立足"看技术、看客户、看场景"思路，以订单融资与供应链金融为抓手服务其研发与周转需求，并在区域与行业集中度上设置合理上限。</w:t>
      </w:r>
    </w:p>
    <w:p>
      <w:pPr>
        <w:spacing w:lineRule="exact" w:line="600" w:before="0" w:after="0"/>
        <w:ind w:firstLine="420"/>
        <w:jc w:val="both"/>
      </w:pPr>
      <w:r>
        <w:rPr>
          <w:rFonts w:ascii="仿宋_GB2312" w:hAnsi="仿宋_GB2312" w:eastAsia="仿宋_GB2312"/>
          <w:b w:val="0"/>
          <w:color w:val="000000"/>
          <w:sz w:val="32"/>
        </w:rPr>
        <w:t>总体而言，服务东营经济技术开发区数字经济软件信息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山东胜软科技股份有限公司公开披露信息及2024年年报片段。</w:t>
      </w:r>
    </w:p>
    <w:p>
      <w:pPr>
        <w:spacing w:lineRule="exact" w:line="600" w:before="0" w:after="0"/>
        <w:jc w:val="left"/>
      </w:pPr>
      <w:r>
        <w:rPr>
          <w:rFonts w:ascii="仿宋_GB2312" w:hAnsi="仿宋_GB2312" w:eastAsia="仿宋_GB2312"/>
          <w:b w:val="0"/>
          <w:color w:val="000000"/>
          <w:sz w:val="28"/>
        </w:rPr>
        <w:t>东营经济技术开发区公开产业介绍材料（2024）。</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