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东阿县新型建材特色产业集群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东阿蓝天七色建材有限公司企业分析报告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蓝天七色建材有限公司成立于2003年11月14日，注册资本3000万元，注册地山东省聊城市东阿县，法定代表人为闫长勇。公司主营铝幕墙板、铝单板、铝蜂窝板等新型建材，产能铝塑板约600万㎡、铝单板约200万㎡/年，产品出口40多个国家和地区，为制造业单项冠军企业，属“东阿县新型建材特色产业集群”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公司围绕铝幕墙与金属板材组织研发、生产与销售，设国内外销售体系。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公司自2003年设立，专注铝幕墙板与铝单板，成长为行业知名品牌与制造业单项冠军，出口覆盖40余国。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定位为高端金属幕墙系统供应商，主营铝单板、铝塑板、铝蜂窝板。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收入以铝单板、铝塑板、铝蜂窝板为主；财务数据未公开披露。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铝单板、铝塑复合板、铝蜂窝板、金属屋面系统，服务于幕墙与建筑装饰。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客户为建筑幕墙工程商、地产与公建项目，出口覆盖40多个国家和地区。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采购铝卷、涂料等原料，供应稳定。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铝塑板约600万㎡/年、铝单板约200万㎡/年产能，具规模与出口资质。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内外销结合，出口占比高，品牌“蓝天七色”行业知名。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财务数据未公开披露；公司为制造业单项冠军，在铝幕墙板领域居行业前列。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财务数据未公开披露。公司为非上市企业，未公开披露经审计合并财报，以下不作具体数字列示。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因财务数据未公开，盈利、资产、负债、现金流及对标分析从略；盈利与铝价、地产周期相关。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有限责任公司，设法定代表人及经理层，按公司治理程序决策。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法定代表人闫长勇，管理层具建材行业经验。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以质量、环保与出口合规内控为核心。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拥有铝板加工与外贸团队，规模未公开。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一是品牌壁垒：制造业单项冠军、行业知名；二是规模壁垒：铝塑板600万㎡+铝单板200万㎡产能；三是出口壁垒：40余国渠道；四是技术壁垒：铝蜂窝与幕墙系统工艺。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一是地产风险：建筑幕墙受房地产周期影响；二是铝价风险；三是贸易风险：出口受关税与壁垒影响；四是竞争风险：行业同质化。公司通过品牌、出口多元与产品升级应对。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可探讨：一是供应链金融：铝卷采购与幕墙销售应收账款融资、存货质押；二是融资租赁：涂装与加工设备直租/回租；三是保理：工程应收账款保理；四是小贷：配套供应商周转。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蓝天七色是东阿新型建材集群龙头，品牌与出口优势突出。建议：一是提升系统解决方案能力（幕墙设计+施工）；二是借助山东投资类金融资源优化资金；三是拓展绿色建材与海外。综合看，公司行业地位稳固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数据来源说明：天眼查/企查查工商登记、东阿县政府官网、企业官网、公开报道。财务数据未公开披露，已如实标注。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