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临邑县碳基新材料产业集群</w:t>
      </w:r>
    </w:p>
    <w:p>
      <w:pPr>
        <w:spacing w:lineRule="exact" w:line="600" w:before="240" w:after="240"/>
        <w:ind w:firstLine="0"/>
        <w:jc w:val="center"/>
      </w:pPr>
      <w:r>
        <w:rPr>
          <w:rFonts w:ascii="方正小标宋简体" w:hAnsi="方正小标宋简体" w:eastAsia="方正小标宋简体"/>
          <w:b w:val="0"/>
          <w:color w:val="000000"/>
          <w:sz w:val="44"/>
        </w:rPr>
        <w:t>索通发展股份有限公司（临邑基地）企业分析报告</w:t>
      </w:r>
    </w:p>
    <w:p>
      <w:pPr>
        <w:spacing w:lineRule="exact" w:line="600" w:before="0" w:after="0"/>
        <w:jc w:val="left"/>
      </w:pPr>
      <w:r>
        <w:rPr>
          <w:rFonts w:ascii="仿宋_GB2312" w:hAnsi="仿宋_GB2312" w:eastAsia="仿宋_GB2312"/>
          <w:b w:val="0"/>
          <w:color w:val="000000"/>
          <w:sz w:val="28"/>
        </w:rPr>
        <w:t>（本报告数据来源于企业公开披露信息、交易所公告、巨潮网、东方财富、天眼查/企查查工商登记、公司官网及地方权威媒体等公开渠道，统计时点截至最新披露信息。部分非上市企业财务数据未公开，已如实标注，未作虚构。）</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索通发展股份有限公司（股票代码：603612.SH）为A股上市公司，主营预焙阳极、锂离子电池负极材料及薄膜电容器，是国内预焙阳极行业龙头及A股唯一以预焙阳极为主业的上市公司。临邑基地系索通发展在山东省德州市临邑县布局的重要生产基地之一，属于“临邑县碳基新材料产业集群”核心企业。公司董事长（实控人代表）为郎光辉。</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索通发展为控股型集团，下设多家预焙阳极生产基地（含临邑基地）、负极材料子公司及电容器业务单元，设有研究院与数智化运营平台，集团对基地实行产销协同与集中采购管理。</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由预焙阳极单品起步，逐步扩张至预焙阳极龙头，并拓展锂电负极材料、薄膜电容器等新业务。近年通过索通创新二期、陇西索通等预焙阳极项目投产持续释放产能；临邑基地作为山东布局的重要一环持续贡献产量。</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公司战略定位为“预焙阳极+锂电负极+电容器”的碳基材料平台。预焙阳极为核心主业（2025年收入占比约90.89%），主要用于电解铝阳极；临邑基地承担部分预焙阳极产能。</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2025年主营构成：预焙阳极收入160.81亿元（占比90.89%），锂电负极材料6.38亿元（3.61%），电容器1.50亿元（0.85%）。地区上内销占比约67.79%，出口约27.56%。</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预焙阳极（电解铝关键耗材）、锂离子电池负极材料、薄膜电容器。预焙阳极是公司兼具规模与成本优势的核心产品。</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预焙阳极客户为国内外大型电解铝企业，2024年前五大客户销售金额63.81亿元、占比46.4%，客户集中度较高但均为行业龙头，合作关系稳定。</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主要采购石油焦、煤沥青等原料，2024年前五大供应商采购金额35.24亿元、占比30.73%。</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公司预焙阳极产能行业领先，近年新增索通创新二期（34万吨）、陇西索通（30万吨）等项目投产，临邑基地为山东产能组成部分。具备规模、技术与出口资质优势。</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以直供电解铝企业为主，内外销结合，出口面向海外铝企。</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2025年营业总收入176.93亿元，预焙阳极产销量持续增长（2024年销量同比+11.35%）。公司在国内预焙阳极出口与产量方面位居行业前列。</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（一）近三年主要会计数据（单位：亿元）</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835"/>
          </w:tcPr>
          <w:p>
            <w:pPr>
              <w:spacing w:lineRule="exact" w:line="600"/>
              <w:jc w:val="center"/>
            </w:pPr>
            <w:r/>
            <w:r>
              <w:rPr>
                <w:rFonts w:ascii="黑体" w:hAnsi="黑体" w:eastAsia="黑体"/>
                <w:b/>
                <w:color w:val="000000"/>
                <w:sz w:val="32"/>
              </w:rPr>
              <w:t>指标</w:t>
            </w:r>
          </w:p>
        </w:tc>
        <w:tc>
          <w:tcPr>
            <w:tcW w:type="dxa" w:w="2268"/>
          </w:tcPr>
          <w:p>
            <w:pPr>
              <w:spacing w:lineRule="exact" w:line="600"/>
              <w:jc w:val="center"/>
            </w:pPr>
            <w:r/>
            <w:r>
              <w:rPr>
                <w:rFonts w:ascii="黑体" w:hAnsi="黑体" w:eastAsia="黑体"/>
                <w:b/>
                <w:color w:val="000000"/>
                <w:sz w:val="32"/>
              </w:rPr>
              <w:t>2023年</w:t>
            </w:r>
          </w:p>
        </w:tc>
        <w:tc>
          <w:tcPr>
            <w:tcW w:type="dxa" w:w="2268"/>
          </w:tcPr>
          <w:p>
            <w:pPr>
              <w:spacing w:lineRule="exact" w:line="600"/>
              <w:jc w:val="center"/>
            </w:pPr>
            <w:r/>
            <w:r>
              <w:rPr>
                <w:rFonts w:ascii="黑体" w:hAnsi="黑体" w:eastAsia="黑体"/>
                <w:b/>
                <w:color w:val="000000"/>
                <w:sz w:val="32"/>
              </w:rPr>
              <w:t>2024年</w:t>
            </w:r>
          </w:p>
        </w:tc>
        <w:tc>
          <w:tcPr>
            <w:tcW w:type="dxa" w:w="2268"/>
          </w:tcPr>
          <w:p>
            <w:pPr>
              <w:spacing w:lineRule="exact" w:line="600"/>
              <w:jc w:val="center"/>
            </w:pPr>
            <w:r/>
            <w:r>
              <w:rPr>
                <w:rFonts w:ascii="黑体" w:hAnsi="黑体" w:eastAsia="黑体"/>
                <w:b/>
                <w:color w:val="000000"/>
                <w:sz w:val="32"/>
              </w:rPr>
              <w:t>2025年</w:t>
            </w:r>
          </w:p>
        </w:tc>
      </w:tr>
      <w:tr>
        <w:tc>
          <w:tcPr>
            <w:tcW w:type="dxa" w:w="2835"/>
          </w:tcPr>
          <w:p>
            <w:pPr>
              <w:spacing w:lineRule="exact" w:line="600"/>
              <w:jc w:val="center"/>
            </w:pPr>
            <w:r/>
            <w:r>
              <w:rPr>
                <w:rFonts w:ascii="仿宋_GB2312" w:hAnsi="仿宋_GB2312" w:eastAsia="仿宋_GB2312"/>
                <w:b w:val="0"/>
                <w:color w:val="000000"/>
                <w:sz w:val="32"/>
              </w:rPr>
              <w:t>营业总收入</w:t>
            </w:r>
          </w:p>
        </w:tc>
        <w:tc>
          <w:tcPr>
            <w:tcW w:type="dxa" w:w="2268"/>
          </w:tcPr>
          <w:p>
            <w:pPr>
              <w:spacing w:lineRule="exact" w:line="600"/>
              <w:jc w:val="center"/>
            </w:pPr>
            <w:r/>
            <w:r>
              <w:rPr>
                <w:rFonts w:ascii="仿宋_GB2312" w:hAnsi="仿宋_GB2312" w:eastAsia="仿宋_GB2312"/>
                <w:b w:val="0"/>
                <w:color w:val="000000"/>
                <w:sz w:val="32"/>
              </w:rPr>
              <w:t>153.11</w:t>
            </w:r>
          </w:p>
        </w:tc>
        <w:tc>
          <w:tcPr>
            <w:tcW w:type="dxa" w:w="2268"/>
          </w:tcPr>
          <w:p>
            <w:pPr>
              <w:spacing w:lineRule="exact" w:line="600"/>
              <w:jc w:val="center"/>
            </w:pPr>
            <w:r/>
            <w:r>
              <w:rPr>
                <w:rFonts w:ascii="仿宋_GB2312" w:hAnsi="仿宋_GB2312" w:eastAsia="仿宋_GB2312"/>
                <w:b w:val="0"/>
                <w:color w:val="000000"/>
                <w:sz w:val="32"/>
              </w:rPr>
              <w:t>137.50</w:t>
            </w:r>
          </w:p>
        </w:tc>
        <w:tc>
          <w:tcPr>
            <w:tcW w:type="dxa" w:w="2268"/>
          </w:tcPr>
          <w:p>
            <w:pPr>
              <w:spacing w:lineRule="exact" w:line="600"/>
              <w:jc w:val="center"/>
            </w:pPr>
            <w:r/>
            <w:r>
              <w:rPr>
                <w:rFonts w:ascii="仿宋_GB2312" w:hAnsi="仿宋_GB2312" w:eastAsia="仿宋_GB2312"/>
                <w:b w:val="0"/>
                <w:color w:val="000000"/>
                <w:sz w:val="32"/>
              </w:rPr>
              <w:t>176.93</w:t>
            </w:r>
          </w:p>
        </w:tc>
      </w:tr>
      <w:tr>
        <w:tc>
          <w:tcPr>
            <w:tcW w:type="dxa" w:w="2835"/>
          </w:tcPr>
          <w:p>
            <w:pPr>
              <w:spacing w:lineRule="exact" w:line="600"/>
              <w:jc w:val="center"/>
            </w:pPr>
            <w:r/>
            <w:r>
              <w:rPr>
                <w:rFonts w:ascii="仿宋_GB2312" w:hAnsi="仿宋_GB2312" w:eastAsia="仿宋_GB2312"/>
                <w:b w:val="0"/>
                <w:color w:val="000000"/>
                <w:sz w:val="32"/>
              </w:rPr>
              <w:t>归母净利润</w:t>
            </w:r>
          </w:p>
        </w:tc>
        <w:tc>
          <w:tcPr>
            <w:tcW w:type="dxa" w:w="2268"/>
          </w:tcPr>
          <w:p>
            <w:pPr>
              <w:spacing w:lineRule="exact" w:line="600"/>
              <w:jc w:val="center"/>
            </w:pPr>
            <w:r/>
            <w:r>
              <w:rPr>
                <w:rFonts w:ascii="仿宋_GB2312" w:hAnsi="仿宋_GB2312" w:eastAsia="仿宋_GB2312"/>
                <w:b w:val="0"/>
                <w:color w:val="000000"/>
                <w:sz w:val="32"/>
              </w:rPr>
              <w:t>-7.23</w:t>
            </w:r>
          </w:p>
        </w:tc>
        <w:tc>
          <w:tcPr>
            <w:tcW w:type="dxa" w:w="2268"/>
          </w:tcPr>
          <w:p>
            <w:pPr>
              <w:spacing w:lineRule="exact" w:line="600"/>
              <w:jc w:val="center"/>
            </w:pPr>
            <w:r/>
            <w:r>
              <w:rPr>
                <w:rFonts w:ascii="仿宋_GB2312" w:hAnsi="仿宋_GB2312" w:eastAsia="仿宋_GB2312"/>
                <w:b w:val="0"/>
                <w:color w:val="000000"/>
                <w:sz w:val="32"/>
              </w:rPr>
              <w:t>2.72</w:t>
            </w:r>
          </w:p>
        </w:tc>
        <w:tc>
          <w:tcPr>
            <w:tcW w:type="dxa" w:w="2268"/>
          </w:tcPr>
          <w:p>
            <w:pPr>
              <w:spacing w:lineRule="exact" w:line="600"/>
              <w:jc w:val="center"/>
            </w:pPr>
            <w:r/>
            <w:r>
              <w:rPr>
                <w:rFonts w:ascii="仿宋_GB2312" w:hAnsi="仿宋_GB2312" w:eastAsia="仿宋_GB2312"/>
                <w:b w:val="0"/>
                <w:color w:val="000000"/>
                <w:sz w:val="32"/>
              </w:rPr>
              <w:t>7.47</w:t>
            </w:r>
          </w:p>
        </w:tc>
      </w:tr>
      <w:tr>
        <w:tc>
          <w:tcPr>
            <w:tcW w:type="dxa" w:w="2835"/>
          </w:tcPr>
          <w:p>
            <w:pPr>
              <w:spacing w:lineRule="exact" w:line="600"/>
              <w:jc w:val="center"/>
            </w:pPr>
            <w:r/>
            <w:r>
              <w:rPr>
                <w:rFonts w:ascii="仿宋_GB2312" w:hAnsi="仿宋_GB2312" w:eastAsia="仿宋_GB2312"/>
                <w:b w:val="0"/>
                <w:color w:val="000000"/>
                <w:sz w:val="32"/>
              </w:rPr>
              <w:t>销售毛利率</w:t>
            </w:r>
          </w:p>
        </w:tc>
        <w:tc>
          <w:tcPr>
            <w:tcW w:type="dxa" w:w="2268"/>
          </w:tcPr>
          <w:p>
            <w:pPr>
              <w:spacing w:lineRule="exact" w:line="600"/>
              <w:jc w:val="center"/>
            </w:pPr>
            <w:r/>
            <w:r>
              <w:rPr>
                <w:rFonts w:ascii="仿宋_GB2312" w:hAnsi="仿宋_GB2312" w:eastAsia="仿宋_GB2312"/>
                <w:b w:val="0"/>
                <w:color w:val="000000"/>
                <w:sz w:val="32"/>
              </w:rPr>
              <w:t>（低位）</w:t>
            </w:r>
          </w:p>
        </w:tc>
        <w:tc>
          <w:tcPr>
            <w:tcW w:type="dxa" w:w="2268"/>
          </w:tcPr>
          <w:p>
            <w:pPr>
              <w:spacing w:lineRule="exact" w:line="600"/>
              <w:jc w:val="center"/>
            </w:pPr>
            <w:r/>
            <w:r>
              <w:rPr>
                <w:rFonts w:ascii="仿宋_GB2312" w:hAnsi="仿宋_GB2312" w:eastAsia="仿宋_GB2312"/>
                <w:b w:val="0"/>
                <w:color w:val="000000"/>
                <w:sz w:val="32"/>
              </w:rPr>
              <w:t>9.20%</w:t>
            </w:r>
          </w:p>
        </w:tc>
        <w:tc>
          <w:tcPr>
            <w:tcW w:type="dxa" w:w="2268"/>
          </w:tcPr>
          <w:p>
            <w:pPr>
              <w:spacing w:lineRule="exact" w:line="600"/>
              <w:jc w:val="center"/>
            </w:pPr>
            <w:r/>
            <w:r>
              <w:rPr>
                <w:rFonts w:ascii="仿宋_GB2312" w:hAnsi="仿宋_GB2312" w:eastAsia="仿宋_GB2312"/>
                <w:b w:val="0"/>
                <w:color w:val="000000"/>
                <w:sz w:val="32"/>
              </w:rPr>
              <w:t>（回升）</w:t>
            </w:r>
          </w:p>
        </w:tc>
      </w:tr>
      <w:tr>
        <w:tc>
          <w:tcPr>
            <w:tcW w:type="dxa" w:w="2835"/>
          </w:tcPr>
          <w:p>
            <w:pPr>
              <w:spacing w:lineRule="exact" w:line="600"/>
              <w:jc w:val="center"/>
            </w:pPr>
            <w:r/>
            <w:r>
              <w:rPr>
                <w:rFonts w:ascii="仿宋_GB2312" w:hAnsi="仿宋_GB2312" w:eastAsia="仿宋_GB2312"/>
                <w:b w:val="0"/>
                <w:color w:val="000000"/>
                <w:sz w:val="32"/>
              </w:rPr>
              <w:t>资产负债率</w:t>
            </w:r>
          </w:p>
        </w:tc>
        <w:tc>
          <w:tcPr>
            <w:tcW w:type="dxa" w:w="2268"/>
          </w:tcPr>
          <w:p>
            <w:pPr>
              <w:spacing w:lineRule="exact" w:line="600"/>
              <w:jc w:val="center"/>
            </w:pPr>
            <w:r/>
            <w:r>
              <w:rPr>
                <w:rFonts w:ascii="仿宋_GB2312" w:hAnsi="仿宋_GB2312" w:eastAsia="仿宋_GB2312"/>
                <w:b w:val="0"/>
                <w:color w:val="000000"/>
                <w:sz w:val="32"/>
              </w:rPr>
              <w:t>（约56%）</w:t>
            </w:r>
          </w:p>
        </w:tc>
        <w:tc>
          <w:tcPr>
            <w:tcW w:type="dxa" w:w="2268"/>
          </w:tcPr>
          <w:p>
            <w:pPr>
              <w:spacing w:lineRule="exact" w:line="600"/>
              <w:jc w:val="center"/>
            </w:pPr>
            <w:r/>
            <w:r>
              <w:rPr>
                <w:rFonts w:ascii="仿宋_GB2312" w:hAnsi="仿宋_GB2312" w:eastAsia="仿宋_GB2312"/>
                <w:b w:val="0"/>
                <w:color w:val="000000"/>
                <w:sz w:val="32"/>
              </w:rPr>
              <w:t>60.82%</w:t>
            </w:r>
          </w:p>
        </w:tc>
        <w:tc>
          <w:tcPr>
            <w:tcW w:type="dxa" w:w="2268"/>
          </w:tcPr>
          <w:p>
            <w:pPr>
              <w:spacing w:lineRule="exact" w:line="600"/>
              <w:jc w:val="center"/>
            </w:pPr>
            <w:r/>
            <w:r>
              <w:rPr>
                <w:rFonts w:ascii="仿宋_GB2312" w:hAnsi="仿宋_GB2312" w:eastAsia="仿宋_GB2312"/>
                <w:b w:val="0"/>
                <w:color w:val="000000"/>
                <w:sz w:val="32"/>
              </w:rPr>
              <w:t>（约60%）</w:t>
            </w:r>
          </w:p>
        </w:tc>
      </w:tr>
    </w:tbl>
    <w:p>
      <w:pPr>
        <w:spacing w:lineRule="exact" w:line="600" w:before="0" w:after="0"/>
        <w:ind w:firstLine="420"/>
        <w:jc w:val="both"/>
      </w:pPr>
      <w:r>
        <w:rPr>
          <w:rFonts w:ascii="仿宋_GB2312" w:hAnsi="仿宋_GB2312" w:eastAsia="仿宋_GB2312"/>
          <w:b w:val="0"/>
          <w:color w:val="000000"/>
          <w:sz w:val="32"/>
        </w:rPr>
        <w:t>注：2023年归母净利润为亏损7.23亿元；2024年扭亏为盈，归母净利润2.72亿元；2025年延续改善至7.47亿元。数据来源于公司2024、2025年年报及业绩趋势披露。</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2023年受预焙阳极价格下行影响出现亏损；2024年毛利率回升至9.20%、净利率3.27%，实现扭亏；2025年盈利进一步改善。盈利随预焙阳极价格与产能利用率波动。</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2024年末总资产176.15亿元，固定资产占比上升（较上年+23.31%），存货账面27.42亿元（占净资产53.03%），资产以生产装置与营运原料为主。</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2024年末资产负债率60.82%，有息负债率约76.19%，流动比率1.29、速动比率0.90，债务以项目贷款与营运资金借款为主，偿债依赖经营回款与再融资。</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2024年经营活动现金流净额4.26亿元（同比-74.17%，因铺底原料等营运资金增加）；投资活动净流出6.99亿元（产能建设）；筹资净流出2.25亿元。</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索通发展为预焙阳极A股唯一龙头，毛利率与产能利用率优于中小同行；与电解铝配套耗材企业相比具备规模与出口双重优势。</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作为A股上市公司，索通发展建立了股东大会、董事会、监事会及经理层规范治理结构，信息披露合规。</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董事长郎光辉；2024年末员工总数5591人。管理层具备碳基材料产业长期经验。</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集团化管控，推行数智化设备管理系统提升生产效率与内控水平；建立采购、销售、资金集中管理制度。</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2024年人均创收245.93万元、人均创利4.87万元，研发与生产技术队伍稳定，具备持续工艺改进能力。</w:t>
      </w:r>
    </w:p>
    <w:p>
      <w:pPr>
        <w:spacing w:lineRule="exact" w:line="600" w:before="120" w:after="120"/>
        <w:ind w:firstLine="420"/>
        <w:jc w:val="left"/>
      </w:pPr>
      <w:r>
        <w:rPr>
          <w:rFonts w:ascii="黑体" w:hAnsi="黑体" w:eastAsia="黑体"/>
          <w:b w:val="0"/>
          <w:color w:val="000000"/>
          <w:sz w:val="32"/>
        </w:rPr>
        <w:t>五、核心竞争力</w:t>
      </w:r>
    </w:p>
    <w:p>
      <w:pPr>
        <w:spacing w:lineRule="exact" w:line="600" w:before="0" w:after="0"/>
        <w:ind w:firstLine="420"/>
        <w:jc w:val="both"/>
      </w:pPr>
      <w:r>
        <w:rPr>
          <w:rFonts w:ascii="仿宋_GB2312" w:hAnsi="仿宋_GB2312" w:eastAsia="仿宋_GB2312"/>
          <w:b w:val="0"/>
          <w:color w:val="000000"/>
          <w:sz w:val="32"/>
        </w:rPr>
        <w:t>一是规模与成本优势：预焙阳极产能行业领先，单吨成本具竞争力；二是客户壁垒：与国内外龙头铝企长期绑定，前五大客户占比高且稳定；三是技术优势：数智化生产与煅后焦—阳极一体化工艺；四是出口优势：海外销售占比约27%，规避单一市场波动；五是平台化延伸：负极材料与电容器培育第二曲线。</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0" w:after="0"/>
        <w:ind w:firstLine="420"/>
        <w:jc w:val="both"/>
      </w:pPr>
      <w:r>
        <w:rPr>
          <w:rFonts w:ascii="仿宋_GB2312" w:hAnsi="仿宋_GB2312" w:eastAsia="仿宋_GB2312"/>
          <w:b w:val="0"/>
          <w:color w:val="000000"/>
          <w:sz w:val="32"/>
        </w:rPr>
        <w:t>一是价格风险：预焙阳极价格2023年跌幅超20%致巨亏，价格波动直接冲击盈利；二是客户集中风险：前五大客户占比高；三是债务风险：有息负债率偏高；四是新业务风险：负极材料行业产能过剩、盈利承压；五是原料风险：石油焦、煤沥青价格联动。公司通过产能释放、数智化降本、客户多元化与套期保值应对。</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索通发展作为上市公司融资能力较强，但可探讨：一是供应链金融：围绕石油焦/煤沥青采购与预焙阳极销售，为上下游提供应收账款融资与存货质押；二是融资租赁：临邑等基地技改与环保设备直租/回租；三是保理：对销售应收账款开展保理盘活；四是产业基金合作：在负极材料与电容器新业务上探讨股权或可转债协同。</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索通发展是预焙阳极绝对龙头，2024年扭亏、2025年盈利持续改善，临邑基地是集团山东产能重要组成。建议：一是继续释放产能、提升高毛利产能占比；二是严控有息负债与原料价格风险；三是借助山东投资在供应链金融与产业基金上的资源，优化资金与扩产节奏。综合看，公司行业地位稳固，盈利弹性来自价格周期与产能利用率。</w:t>
      </w:r>
    </w:p>
    <w:p>
      <w:pPr>
        <w:spacing w:lineRule="exact" w:line="600" w:before="0" w:after="0"/>
        <w:jc w:val="left"/>
      </w:pPr>
      <w:r>
        <w:rPr>
          <w:rFonts w:ascii="仿宋_GB2312" w:hAnsi="仿宋_GB2312" w:eastAsia="仿宋_GB2312"/>
          <w:b w:val="0"/>
          <w:color w:val="000000"/>
          <w:sz w:val="28"/>
        </w:rPr>
        <w:t>数据来源说明：索通发展2024年、2025年年度报告（巨潮网）、东方财富/同花顺财务数据、公司官网、中证网/证券时报等公开报道。临邑基地为索通发展在山东布局的生产基地之一。</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