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乐陵市调味品特色产业集群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山东华畅食品股份有限公司企业分析报告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乐陵市人民政府网、山东省工信厅/农业农村厅公开认定信息及公司公开报道等公开渠道，统计时点截至最新披露信息。该公司为非上市民营企业，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华畅食品股份有限公司成立于2006年5月11日，法定代表人为杨立芳，注册地址位于山东省乐陵市杨安镇三岔口。公司注册资本650万元，实缴资本650万元，注册资本已足额缴纳。经营范围涵盖香辛料、复合调味品、预制菜酱料等调味食品的研发、生产与销售。</w:t>
      </w:r>
    </w:p>
    <w:p>
      <w:pPr>
        <w:spacing w:lineRule="exact" w:line="600" w:before="0" w:after="0"/>
        <w:ind w:firstLine="420"/>
        <w:jc w:val="both"/>
      </w:pPr>
      <w:r>
        <w:rPr>
          <w:rFonts w:ascii="仿宋_GB2312" w:hAnsi="仿宋_GB2312" w:eastAsia="仿宋_GB2312"/>
          <w:b w:val="0"/>
          <w:color w:val="000000"/>
          <w:sz w:val="32"/>
        </w:rPr>
        <w:t>股权结构方面，公司由自然人控股，王建洲持股98.46%，杨立芳持股1.54%，王建洲为实际控制人，股权结构相对集中。截至最新公开信息，公司参保人数约26人，属于中小型民营企业。公司统一社会信用代码及工商登记信息可通过国家企业信用信息公示系统查证。</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采用以母公司为运营主体的扁平化组织架构，实际控制人王建洲主导战略与重大决策，设生产、研发、质检、销售等职能部门。公开信息未显示其拥有控股或重要参股子公司，业务范围集中于乐陵市杨安镇总部基地，未实施跨区域集团化扩张。</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发展历程中的关键节点包括：2006年完成工商注册并落地乐陵市杨安镇，依托当地"中国调味品之都"产业集聚优势切入香辛料加工领域；2023年被认定为国家级高新技术企业，研发能力获得认可；2024年获评山东省瞪羚企业，创新能力与成长性受到省级认可；2025年入选山东省农业产业化重点龙头企业，产业带动能力进一步提升。</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香辛料及复合调味品专业供应商，深耕调味食品细分赛道。主营业务为香辛料、调味品研发生产，产品品种达300余种，覆盖餐饮、家庭消费及食品工业客户。近年来公司顺应预制菜产业风口，拓展预制菜专用酱料业务，据公开报道其预制菜酱料风味还原度可达80%以上，形成传统香辛料与预制菜酱料双轮驱动的产品格局。</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香辛料及复合调味品为核心，可划分为传统香辛料（辣椒、花椒、孜然等原料级及研磨级产品）、复合调味料（麻辣鲜、五香粉等）以及预制菜专用酱料三大板块。非上市公司未披露分产品收入构成，从产品结构看，香辛料及复合调味料为收入基本盘，预制菜酱料为成长性业务。</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一是香辛料系列，涵盖辣椒、花椒、胡椒、孜然等数百种单品及定制研磨混合产品；二是复合调味料系列，面向餐饮连锁及家庭消费的标准化调味粉、调味酱；三是预制菜酱料，为预制菜企业提供风味还原度较高的标准化酱料解决方案。产品以"华畅"品牌对外销售。</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结构包括餐饮连锁企业、食品加工企业（预制菜工厂）、商超及电商平台等。作为杨安镇调味品产业集群骨干企业，公司客户以国内食品加工企业和餐饮供应链为主，部分产品通过经销商网络覆盖全国。客户集中度及头部客户名称因非上市未公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上游为辣椒、花椒等农产品种植及初加工环节，乐陵及周边（如武城、河北及周边产区）为原料集散地，采购半径短、供应稳定。公司依托杨安镇"中国调味品之都"的集散优势，原料采购具备区位与成本便利。</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位于杨安镇的生产基地，配备香辛料研磨、混合、包装等产线。作为国家级高新技术企业及省级农业龙头企业，在技术改造、研发投入方面具备政策与资质支撑。相关食品生产许可、食品经营许可证等资质齐全（以监管部门公示为准）。</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销售渠道以经销商体系、餐饮及食品工业直供、电商平台相结合。公司借助乐陵调味品区域公用品牌及产业集群协同效应拓展市场，并通过电商平台触达终端消费者，线上线下一体化销售。</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民营企业，未公开披露营收、利润等量化经营数据，市场占有率缺乏权威第三方测算。从公开认定（国家级高新、省级瞪羚、省级农业龙头）及产品品种规模（300余种）判断，公司在杨安镇调味品产业集群中属中坚骨干企业，在香辛料细分领域具备一定区域影响力。</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jc w:val="left"/>
      </w:pPr>
      <w:r>
        <w:rPr>
          <w:rFonts w:ascii="仿宋_GB2312" w:hAnsi="仿宋_GB2312" w:eastAsia="仿宋_GB2312"/>
          <w:b w:val="0"/>
          <w:color w:val="000000"/>
          <w:sz w:val="28"/>
        </w:rPr>
        <w:t>（山东华畅食品股份有限公司为非上市民营企业，财务数据未公开披露。以下基于公开工商与认定信息作定性说明，不编造具体财务报表数字。）</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因公司未公开披露审计报告或财务报表，无法提供近三年营收、净利润、资产规模等量化数据。公开信息显示公司实缴注册资本650万元、参保约26人，资产与营收规模属中小微型，具体财务指标以企业自行披露为准。</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公司主营香辛料及调味品加工，行业毛利率中等，盈利受原料（辣椒、花椒等）价格波动影响较大。作为省级瞪羚及农业龙头企业，具备一定的产品溢价与成本控制能力，但具体盈利水平未公开。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公司资产以生产设备、存货（原料及产成品）及应收款项为主，资产结构符合调味品加工企业特征。具体资产质量指标未公开。</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资产负债率及有息负债规模未公开。鉴于公司注册资本已实缴且股权集中，推测以自有资金及经营性负债为主，债务压力相对可控，但缺乏公开数据支撑。</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经营性现金流状况未公开。调味食品加工企业现金流受原料采购季节性及销售回款周期影响，建议后续以企业尽调获取真实流水。</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与同集群新飞达、乐家客等相比，公司规模偏小（参保26人），但"高新+瞪羚+农业龙头"三重资质叠加，在技术属性与成长性上具相对优势；财务可比性因均未上市而受限。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民营股份制企业，治理结构为典型家族/实际控制人主导模式，王建洲为实际控制人并主导经营决策，未公开设独立董事或外部董事。治理规范性随股份制改造有所提升，但仍以内部决策为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法定代表人杨立芳，实际控制人王建洲。管理层具备调味品行业长期从业经验，对乐陵调味品产业生态熟悉。核心管理团队信息以工商公示为准。</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公司建立生产、质检、销售等职能分工，作为食品生产企业需执行食品安全管理体系（如SC许可、HACCP等）内控要求。内控体系以满足食品监管合规为底线，尚未公开引入外部审计。</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参保人数约26人，人员规模精简，以生产、研发、销售人员为主。作为高新技术企业，研发人员占比具有一定要求；公司通过校企合作及内部培养补充技术与研发力量。</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120" w:after="120"/>
        <w:ind w:firstLine="420"/>
        <w:jc w:val="left"/>
      </w:pPr>
      <w:r>
        <w:rPr>
          <w:rFonts w:ascii="楷体_GB2312" w:hAnsi="楷体_GB2312" w:eastAsia="楷体_GB2312"/>
          <w:b w:val="0"/>
          <w:color w:val="000000"/>
          <w:sz w:val="32"/>
        </w:rPr>
        <w:t>（一）区位与集群协同</w:t>
      </w:r>
    </w:p>
    <w:p>
      <w:pPr>
        <w:spacing w:lineRule="exact" w:line="600" w:before="0" w:after="0"/>
        <w:ind w:firstLine="420"/>
        <w:jc w:val="both"/>
      </w:pPr>
      <w:r>
        <w:rPr>
          <w:rFonts w:ascii="仿宋_GB2312" w:hAnsi="仿宋_GB2312" w:eastAsia="仿宋_GB2312"/>
          <w:b w:val="0"/>
          <w:color w:val="000000"/>
          <w:sz w:val="32"/>
        </w:rPr>
        <w:t>坐落于"中国调味品之都"乐陵市杨安镇，享产业集群原料集散、配套完善、区域品牌背书等协同优势，采购与销售网络成熟。</w:t>
      </w:r>
    </w:p>
    <w:p>
      <w:pPr>
        <w:spacing w:lineRule="exact" w:line="600" w:before="120" w:after="120"/>
        <w:ind w:firstLine="420"/>
        <w:jc w:val="left"/>
      </w:pPr>
      <w:r>
        <w:rPr>
          <w:rFonts w:ascii="楷体_GB2312" w:hAnsi="楷体_GB2312" w:eastAsia="楷体_GB2312"/>
          <w:b w:val="0"/>
          <w:color w:val="000000"/>
          <w:sz w:val="32"/>
        </w:rPr>
        <w:t>（二）技术与资质壁垒</w:t>
      </w:r>
    </w:p>
    <w:p>
      <w:pPr>
        <w:spacing w:lineRule="exact" w:line="600" w:before="0" w:after="0"/>
        <w:ind w:firstLine="420"/>
        <w:jc w:val="both"/>
      </w:pPr>
      <w:r>
        <w:rPr>
          <w:rFonts w:ascii="仿宋_GB2312" w:hAnsi="仿宋_GB2312" w:eastAsia="仿宋_GB2312"/>
          <w:b w:val="0"/>
          <w:color w:val="000000"/>
          <w:sz w:val="32"/>
        </w:rPr>
        <w:t>国家级高新技术企业、省级瞪羚企业、省级农业产业化重点龙头企业三重资质叠加，在研发立项、政策资源、客户信任方面形成壁垒；预制菜酱料风味还原技术构成差异化能力。</w:t>
      </w:r>
    </w:p>
    <w:p>
      <w:pPr>
        <w:spacing w:lineRule="exact" w:line="600" w:before="120" w:after="120"/>
        <w:ind w:firstLine="420"/>
        <w:jc w:val="left"/>
      </w:pPr>
      <w:r>
        <w:rPr>
          <w:rFonts w:ascii="楷体_GB2312" w:hAnsi="楷体_GB2312" w:eastAsia="楷体_GB2312"/>
          <w:b w:val="0"/>
          <w:color w:val="000000"/>
          <w:sz w:val="32"/>
        </w:rPr>
        <w:t>（三）产品宽度与品牌</w:t>
      </w:r>
    </w:p>
    <w:p>
      <w:pPr>
        <w:spacing w:lineRule="exact" w:line="600" w:before="0" w:after="0"/>
        <w:ind w:firstLine="420"/>
        <w:jc w:val="both"/>
      </w:pPr>
      <w:r>
        <w:rPr>
          <w:rFonts w:ascii="仿宋_GB2312" w:hAnsi="仿宋_GB2312" w:eastAsia="仿宋_GB2312"/>
          <w:b w:val="0"/>
          <w:color w:val="000000"/>
          <w:sz w:val="32"/>
        </w:rPr>
        <w:t>300余种产品覆盖香辛料全谱系，满足客户一站式采购；"华畅"品牌在业内具备认知度，利于渠道拓展与客户粘性。</w:t>
      </w:r>
    </w:p>
    <w:p>
      <w:pPr>
        <w:spacing w:lineRule="exact" w:line="600" w:before="120" w:after="120"/>
        <w:ind w:firstLine="420"/>
        <w:jc w:val="left"/>
      </w:pPr>
      <w:r>
        <w:rPr>
          <w:rFonts w:ascii="楷体_GB2312" w:hAnsi="楷体_GB2312" w:eastAsia="楷体_GB2312"/>
          <w:b w:val="0"/>
          <w:color w:val="000000"/>
          <w:sz w:val="32"/>
        </w:rPr>
        <w:t>（四）柔性供应能力</w:t>
      </w:r>
    </w:p>
    <w:p>
      <w:pPr>
        <w:spacing w:lineRule="exact" w:line="600" w:before="0" w:after="0"/>
        <w:ind w:firstLine="420"/>
        <w:jc w:val="both"/>
      </w:pPr>
      <w:r>
        <w:rPr>
          <w:rFonts w:ascii="仿宋_GB2312" w:hAnsi="仿宋_GB2312" w:eastAsia="仿宋_GB2312"/>
          <w:b w:val="0"/>
          <w:color w:val="000000"/>
          <w:sz w:val="32"/>
        </w:rPr>
        <w:t>中小企业机制灵活，可快速响应餐饮及预制菜客户定制化、小批量、多品种的调味需求，柔性供应能力优于大型标准化工厂。</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调味品行业竞争激烈、同质化严重，香辛料价格受气候与产区产量波动影响明显，行业进入门槛相对不高，存在价格战与利润压缩风险。</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公司规模偏小、抗风险能力有限；原料成本波动将直接传导至毛利；预制菜酱料业务处于拓展期，市场验证与产能爬坡存在不确定性。</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财务未公开、透明度低，融资时信息不对称；轻资产特征下抵质押物有限，传统信贷获取难度较大。</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食品安全为食品企业生命线，若发生质量事故将严重冲击品牌与销售；需持续满足SC、食品添加剂使用等监管要求。</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实际控制人集权，决策依赖个人经验，在规模扩张与多元化时存在治理与战略失误风险。</w:t>
      </w:r>
    </w:p>
    <w:p>
      <w:pPr>
        <w:spacing w:lineRule="exact" w:line="600" w:before="120" w:after="120"/>
        <w:ind w:firstLine="420"/>
        <w:jc w:val="left"/>
      </w:pPr>
      <w:r>
        <w:rPr>
          <w:rFonts w:ascii="楷体_GB2312" w:hAnsi="楷体_GB2312" w:eastAsia="楷体_GB2312"/>
          <w:b w:val="0"/>
          <w:color w:val="000000"/>
          <w:sz w:val="32"/>
        </w:rPr>
        <w:t>（六）应对措施</w:t>
      </w:r>
    </w:p>
    <w:p>
      <w:pPr>
        <w:spacing w:lineRule="exact" w:line="600" w:before="0" w:after="0"/>
        <w:ind w:firstLine="420"/>
        <w:jc w:val="both"/>
      </w:pPr>
      <w:r>
        <w:rPr>
          <w:rFonts w:ascii="仿宋_GB2312" w:hAnsi="仿宋_GB2312" w:eastAsia="仿宋_GB2312"/>
          <w:b w:val="0"/>
          <w:color w:val="000000"/>
          <w:sz w:val="32"/>
        </w:rPr>
        <w:t>公司通过技术改造（高新资质）、拓展高附加值预制菜酱料、依托集群品牌与渠道分散风险；建议强化食品安全内控、推进财务规范化以提升融资能力。</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公司对餐饮连锁及食品工业客户的应收账款可开展保理融资，盘活营运资金，缓解原料集中采购占款压力。</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依托杨安镇调味品产业集群，可围绕核心企业开展上游原料采购、下游经销的供应链金融业务，山东投资可联合集群平台提供订单融资、存货质押等服务。</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公司若有产线升级、自动化设备购置需求，可通过融资租赁方式以轻资产投入扩产，匹配预制菜酱料产能扩张节奏。</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针对短期流动资金缺口，小额贷款可作为补充渠道；鉴于公司规模小，建议以"担保+供应链"组合控制风险。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山东华畅食品股份有限公司是乐陵调味品产业集群中兼具技术属性与成长性的中坚民营企业，三重资质背书下产品宽度与柔性供应能力突出，但规模偏小、财务透明度低。</w:t>
      </w:r>
    </w:p>
    <w:p>
      <w:pPr>
        <w:spacing w:lineRule="exact" w:line="600" w:before="120" w:after="120"/>
        <w:ind w:firstLine="420"/>
        <w:jc w:val="left"/>
      </w:pPr>
      <w:r>
        <w:rPr>
          <w:rFonts w:ascii="楷体_GB2312" w:hAnsi="楷体_GB2312" w:eastAsia="楷体_GB2312"/>
          <w:b w:val="0"/>
          <w:color w:val="000000"/>
          <w:sz w:val="32"/>
        </w:rPr>
        <w:t>（二）未来发展</w:t>
      </w:r>
    </w:p>
    <w:p>
      <w:pPr>
        <w:spacing w:lineRule="exact" w:line="600" w:before="0" w:after="0"/>
        <w:ind w:firstLine="420"/>
        <w:jc w:val="both"/>
      </w:pPr>
      <w:r>
        <w:rPr>
          <w:rFonts w:ascii="仿宋_GB2312" w:hAnsi="仿宋_GB2312" w:eastAsia="仿宋_GB2312"/>
          <w:b w:val="0"/>
          <w:color w:val="000000"/>
          <w:sz w:val="32"/>
        </w:rPr>
        <w:t>预制菜酱料赛道与公司调味技术高度协同，是主要增长极；叠加"中国调味品之都"区域品牌出海，外向型拓展空间可期。</w:t>
      </w:r>
    </w:p>
    <w:p>
      <w:pPr>
        <w:spacing w:lineRule="exact" w:line="600" w:before="120" w:after="120"/>
        <w:ind w:firstLine="420"/>
        <w:jc w:val="left"/>
      </w:pPr>
      <w:r>
        <w:rPr>
          <w:rFonts w:ascii="楷体_GB2312" w:hAnsi="楷体_GB2312" w:eastAsia="楷体_GB2312"/>
          <w:b w:val="0"/>
          <w:color w:val="000000"/>
          <w:sz w:val="32"/>
        </w:rPr>
        <w:t>（三）面临挑战</w:t>
      </w:r>
    </w:p>
    <w:p>
      <w:pPr>
        <w:spacing w:lineRule="exact" w:line="600" w:before="0" w:after="0"/>
        <w:ind w:firstLine="420"/>
        <w:jc w:val="both"/>
      </w:pPr>
      <w:r>
        <w:rPr>
          <w:rFonts w:ascii="仿宋_GB2312" w:hAnsi="仿宋_GB2312" w:eastAsia="仿宋_GB2312"/>
          <w:b w:val="0"/>
          <w:color w:val="000000"/>
          <w:sz w:val="32"/>
        </w:rPr>
        <w:t>挑战在于原料价格波动、行业同质化竞争及自身规模与治理瓶颈，需以技术差异化与财务规范化破局。</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建议山东投资以供应链金融与保理为切入点开展合作，配套财务规范辅导；企业端应聚焦预制菜酱料高附加值方向、强化食品安全内控与信息披露，提升融资可得性。</w:t>
      </w:r>
    </w:p>
    <w:p>
      <w:pPr>
        <w:spacing w:lineRule="exact" w:line="600" w:before="0" w:after="0"/>
        <w:jc w:val="left"/>
      </w:pPr>
      <w:r>
        <w:rPr>
          <w:rFonts w:ascii="仿宋_GB2312" w:hAnsi="仿宋_GB2312" w:eastAsia="仿宋_GB2312"/>
          <w:b w:val="0"/>
          <w:color w:val="000000"/>
          <w:sz w:val="28"/>
        </w:rPr>
        <w:t>数据来源说明：国家企业信用信息公示系统、天眼查/企查查工商信息，乐陵市人民政府网及山东省工业和信息化厅、山东省农业农村厅公开认定公告（国家级高新技术企业2023、山东省瞪羚企业2024、山东省农业产业化重点龙头企业2025），以及公司公开报道。财务数据因非上市未公开，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