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冠县交安设施特色产业集群</w:t>
      </w:r>
    </w:p>
    <w:p>
      <w:pPr>
        <w:spacing w:lineRule="exact" w:line="600" w:before="240" w:after="240"/>
        <w:ind w:firstLine="0"/>
        <w:jc w:val="center"/>
      </w:pPr>
      <w:r>
        <w:rPr>
          <w:rFonts w:ascii="方正小标宋简体" w:hAnsi="方正小标宋简体" w:eastAsia="方正小标宋简体"/>
          <w:b w:val="0"/>
          <w:color w:val="000000"/>
          <w:sz w:val="44"/>
        </w:rPr>
        <w:t>冠县众达交通设施有限公司企业分析报告</w:t>
      </w:r>
    </w:p>
    <w:p>
      <w:pPr>
        <w:spacing w:lineRule="exact" w:line="600" w:before="0" w:after="0"/>
        <w:jc w:val="left"/>
      </w:pPr>
      <w:r>
        <w:rPr>
          <w:rFonts w:ascii="仿宋_GB2312" w:hAnsi="仿宋_GB2312" w:eastAsia="仿宋_GB2312"/>
          <w:b w:val="0"/>
          <w:color w:val="000000"/>
          <w:sz w:val="28"/>
        </w:rPr>
        <w:t>（本报告数据来源于公司年报/工商登记信息、天眼查/爱企查/企查查/启信宝等工商信息平台、企业官网、地方政府门户网站及权威媒体（齐鲁网·闪电新闻、德州日报、大众日报/齐鲁壹点、聊城市政府门户网站、冠县政府门户网站等）公开渠道，统计时点截至最新披露信息；非上市企业未公开披露财务数据已如实标注，未作任何编造。报告供山东省投资有限公司业务参考之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冠县众达交通设施有限公司成立于2016年2月19日，法定代表人董云昌，统一社会信用代码91371525MA3C6HM963，企业类型为有限责任公司（自然人投资或控股/自然人独资口径并存，公开工商以自然人独资为主，第三方信息显示主要股东为董云昌持股约58.88%、董霄岳约32.71%、毕杨约8.41%），注册资本10,700万元（实缴口径不一，万得显示10,700万元、第三方另有1,640万/4,400万元等历史口径），注册地址位于山东省聊城市冠县烟庄街道办事处冉子路与武训大道交叉口东380米路北，登记机关为冠县市场监督管理局，经营状态为存续（存续），营业期限自2016年2月19日至无固定期限，核准日期2025年12月16日。公司所属行业为金属制品业（交通及公共管理用金属标牌制造），为增值税一般纳税人，属小型企业。</w:t>
      </w:r>
    </w:p>
    <w:p>
      <w:pPr>
        <w:spacing w:lineRule="exact" w:line="600" w:before="0" w:after="0"/>
        <w:ind w:firstLine="420"/>
        <w:jc w:val="both"/>
      </w:pPr>
      <w:r>
        <w:rPr>
          <w:rFonts w:ascii="仿宋_GB2312" w:hAnsi="仿宋_GB2312" w:eastAsia="仿宋_GB2312"/>
          <w:b w:val="0"/>
          <w:color w:val="000000"/>
          <w:sz w:val="32"/>
        </w:rPr>
        <w:t>股权结构：民营控股企业，主要自然人股东为董云昌、董霄岳、毕杨，无国有出资人；董云昌为法定代表人、实际控制人，掌控公司经营决策。</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为单体民营交安设施制造企业，下设生产、销售与工程职能，经营范围涵盖两波护栏板、三波护栏板、立柱、防阻块、柱帽、托架、螺栓、高速防撞配套小件生产及销售（凭环保手续经营），以及道路工程施工；组织层级较为扁平，未披露下设子公司。</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2016年2月注册成立，依托冠县全国最大的交通设施生产基地与完整产业链（成型—酸洗—镀锌—护栏板）快速成长；2020年注册资本由4,400万元增至10,700万元（+143%），完成增资扩产；同年获授"AAA级信用企业"和"AAA级重合同守信用企业"等荣誉，在区域交安设施市场建立品牌。</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企业定位为高速公路护栏板及交安配套产品专业生产厂家，冠县交安设施特色产业集群成员。主营业务为两波护栏板、三波护栏板、立柱、防阻块、柱帽、托架、螺栓、高速防撞配套小件的生产与销售，并从事道路工程施工。</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业务以高速公路护栏板及配套件为核心，覆盖两波/三波护栏板、立柱、防阻块、柱帽、托架、螺栓等全系列，并延伸道路工程施工；收入以护栏板制造销售为主。公司未公开披露分产品收入占比。</w:t>
      </w:r>
    </w:p>
    <w:p>
      <w:pPr>
        <w:spacing w:lineRule="exact" w:line="600" w:before="120" w:after="120"/>
        <w:ind w:firstLine="420"/>
        <w:jc w:val="left"/>
      </w:pPr>
      <w:r>
        <w:rPr>
          <w:rFonts w:ascii="楷体_GB2312" w:hAnsi="楷体_GB2312" w:eastAsia="楷体_GB2312"/>
          <w:b w:val="0"/>
          <w:color w:val="000000"/>
          <w:sz w:val="32"/>
        </w:rPr>
        <w:t>（二）主要产品与服务</w:t>
      </w:r>
    </w:p>
    <w:p>
      <w:pPr>
        <w:spacing w:lineRule="exact" w:line="600" w:before="0" w:after="0"/>
        <w:ind w:firstLine="420"/>
        <w:jc w:val="both"/>
      </w:pPr>
      <w:r>
        <w:rPr>
          <w:rFonts w:ascii="仿宋_GB2312" w:hAnsi="仿宋_GB2312" w:eastAsia="仿宋_GB2312"/>
          <w:b w:val="0"/>
          <w:color w:val="000000"/>
          <w:sz w:val="32"/>
        </w:rPr>
        <w:t>主导产品：两波护栏板、三波护栏板、立柱、防阻块、柱帽、托架、螺栓及高速防撞配套小件；可生产镀锌、喷塑等多种防腐处理的护栏产品，满足高速公路、国省道及市政道路交安需求。</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客户以高速公路、国省道及市政道路工程建设单位为主，通过招投标与直销对接；具体客户名单未公开披露，区域以山东及周边为主。</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生产所需主要原料为钢板（带钢）、锌锭、塑料粉末等，价格随钢铁与有色行情波动；冠县完整产业链（成型—酸洗—镀锌—护栏板）提供上游配套，原料就近可得。</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公司注册资本10,700万元，注册于冠县烟庄街道（交安设施企业集中区）；具备护栏板及配套件生产线，凭环保手续开展生产。资质荣誉：2020年获"AAA级信用企业""AAA级重合同守信用企业"；为增值税一般纳税人。具体产线数量与产能未公开披露。</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以工程直销与招投标为主，依托官网（zdbxhl.com）展示产品并对接客户；参与高速及市政交安工程配套供货。</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司为非上市小型企业，财务数据未公开披露，无公开营收、利润及市占率数据。据冠县政府公开信息，冠县交安设施产量占全国60%以上、生产企业200余家，众达作为其中一员，在区域市场具一定地位但规模小于龙头北方交通设施。工商参保约29人。</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jc w:val="left"/>
      </w:pPr>
      <w:r>
        <w:rPr>
          <w:rFonts w:ascii="仿宋_GB2312" w:hAnsi="仿宋_GB2312" w:eastAsia="仿宋_GB2312"/>
          <w:b w:val="0"/>
          <w:color w:val="000000"/>
          <w:sz w:val="28"/>
        </w:rPr>
        <w:t>冠县众达交通设施为非上市小型企业，近三年财务报表未公开披露，以下仅列公开工商与资质信息，不作财务数据编造。</w:t>
      </w:r>
    </w:p>
    <w:tbl>
      <w:tblPr>
        <w:tblStyle w:val="TableGrid"/>
        <w:tblW w:type="auto" w:w="0"/>
        <w:jc w:val="center"/>
        <w:tblLook w:firstColumn="1" w:firstRow="1" w:lastColumn="0" w:lastRow="0" w:noHBand="0" w:noVBand="1" w:val="04A0"/>
      </w:tblPr>
      <w:tblGrid>
        <w:gridCol w:w="4422"/>
        <w:gridCol w:w="4422"/>
      </w:tblGrid>
      <w:tr>
        <w:tc>
          <w:tcPr>
            <w:tcW w:type="dxa" w:w="2551"/>
          </w:tcPr>
          <w:p>
            <w:pPr>
              <w:spacing w:lineRule="exact" w:line="600"/>
              <w:jc w:val="center"/>
            </w:pPr>
            <w:r/>
            <w:r>
              <w:rPr>
                <w:rFonts w:ascii="黑体" w:hAnsi="黑体" w:eastAsia="黑体"/>
                <w:b/>
                <w:color w:val="000000"/>
                <w:sz w:val="32"/>
              </w:rPr>
              <w:t>指标</w:t>
            </w:r>
          </w:p>
        </w:tc>
        <w:tc>
          <w:tcPr>
            <w:tcW w:type="dxa" w:w="6236"/>
          </w:tcPr>
          <w:p>
            <w:pPr>
              <w:spacing w:lineRule="exact" w:line="600"/>
              <w:jc w:val="center"/>
            </w:pPr>
            <w:r/>
            <w:r>
              <w:rPr>
                <w:rFonts w:ascii="黑体" w:hAnsi="黑体" w:eastAsia="黑体"/>
                <w:b/>
                <w:color w:val="000000"/>
                <w:sz w:val="32"/>
              </w:rPr>
              <w:t>公开披露值</w:t>
            </w:r>
          </w:p>
        </w:tc>
      </w:tr>
      <w:tr>
        <w:tc>
          <w:tcPr>
            <w:tcW w:type="dxa" w:w="2551"/>
          </w:tcPr>
          <w:p>
            <w:pPr>
              <w:spacing w:lineRule="exact" w:line="600"/>
              <w:jc w:val="center"/>
            </w:pPr>
            <w:r/>
            <w:r>
              <w:rPr>
                <w:rFonts w:ascii="仿宋_GB2312" w:hAnsi="仿宋_GB2312" w:eastAsia="仿宋_GB2312"/>
                <w:b w:val="0"/>
                <w:color w:val="000000"/>
                <w:sz w:val="32"/>
              </w:rPr>
              <w:t>注册资本</w:t>
            </w:r>
          </w:p>
        </w:tc>
        <w:tc>
          <w:tcPr>
            <w:tcW w:type="dxa" w:w="6236"/>
          </w:tcPr>
          <w:p>
            <w:pPr>
              <w:spacing w:lineRule="exact" w:line="600"/>
              <w:jc w:val="center"/>
            </w:pPr>
            <w:r/>
            <w:r>
              <w:rPr>
                <w:rFonts w:ascii="仿宋_GB2312" w:hAnsi="仿宋_GB2312" w:eastAsia="仿宋_GB2312"/>
                <w:b w:val="0"/>
                <w:color w:val="000000"/>
                <w:sz w:val="32"/>
              </w:rPr>
              <w:t>10,700万元（实缴口径不一）</w:t>
            </w:r>
          </w:p>
        </w:tc>
      </w:tr>
      <w:tr>
        <w:tc>
          <w:tcPr>
            <w:tcW w:type="dxa" w:w="2551"/>
          </w:tcPr>
          <w:p>
            <w:pPr>
              <w:spacing w:lineRule="exact" w:line="600"/>
              <w:jc w:val="center"/>
            </w:pPr>
            <w:r/>
            <w:r>
              <w:rPr>
                <w:rFonts w:ascii="仿宋_GB2312" w:hAnsi="仿宋_GB2312" w:eastAsia="仿宋_GB2312"/>
                <w:b w:val="0"/>
                <w:color w:val="000000"/>
                <w:sz w:val="32"/>
              </w:rPr>
              <w:t>成立时间</w:t>
            </w:r>
          </w:p>
        </w:tc>
        <w:tc>
          <w:tcPr>
            <w:tcW w:type="dxa" w:w="6236"/>
          </w:tcPr>
          <w:p>
            <w:pPr>
              <w:spacing w:lineRule="exact" w:line="600"/>
              <w:jc w:val="center"/>
            </w:pPr>
            <w:r/>
            <w:r>
              <w:rPr>
                <w:rFonts w:ascii="仿宋_GB2312" w:hAnsi="仿宋_GB2312" w:eastAsia="仿宋_GB2312"/>
                <w:b w:val="0"/>
                <w:color w:val="000000"/>
                <w:sz w:val="32"/>
              </w:rPr>
              <w:t>2016-02-19</w:t>
            </w:r>
          </w:p>
        </w:tc>
      </w:tr>
      <w:tr>
        <w:tc>
          <w:tcPr>
            <w:tcW w:type="dxa" w:w="2551"/>
          </w:tcPr>
          <w:p>
            <w:pPr>
              <w:spacing w:lineRule="exact" w:line="600"/>
              <w:jc w:val="center"/>
            </w:pPr>
            <w:r/>
            <w:r>
              <w:rPr>
                <w:rFonts w:ascii="仿宋_GB2312" w:hAnsi="仿宋_GB2312" w:eastAsia="仿宋_GB2312"/>
                <w:b w:val="0"/>
                <w:color w:val="000000"/>
                <w:sz w:val="32"/>
              </w:rPr>
              <w:t>企业类型</w:t>
            </w:r>
          </w:p>
        </w:tc>
        <w:tc>
          <w:tcPr>
            <w:tcW w:type="dxa" w:w="6236"/>
          </w:tcPr>
          <w:p>
            <w:pPr>
              <w:spacing w:lineRule="exact" w:line="600"/>
              <w:jc w:val="center"/>
            </w:pPr>
            <w:r/>
            <w:r>
              <w:rPr>
                <w:rFonts w:ascii="仿宋_GB2312" w:hAnsi="仿宋_GB2312" w:eastAsia="仿宋_GB2312"/>
                <w:b w:val="0"/>
                <w:color w:val="000000"/>
                <w:sz w:val="32"/>
              </w:rPr>
              <w:t>民营控股（自然人投资或控股）</w:t>
            </w:r>
          </w:p>
        </w:tc>
      </w:tr>
      <w:tr>
        <w:tc>
          <w:tcPr>
            <w:tcW w:type="dxa" w:w="2551"/>
          </w:tcPr>
          <w:p>
            <w:pPr>
              <w:spacing w:lineRule="exact" w:line="600"/>
              <w:jc w:val="center"/>
            </w:pPr>
            <w:r/>
            <w:r>
              <w:rPr>
                <w:rFonts w:ascii="仿宋_GB2312" w:hAnsi="仿宋_GB2312" w:eastAsia="仿宋_GB2312"/>
                <w:b w:val="0"/>
                <w:color w:val="000000"/>
                <w:sz w:val="32"/>
              </w:rPr>
              <w:t>注册地</w:t>
            </w:r>
          </w:p>
        </w:tc>
        <w:tc>
          <w:tcPr>
            <w:tcW w:type="dxa" w:w="6236"/>
          </w:tcPr>
          <w:p>
            <w:pPr>
              <w:spacing w:lineRule="exact" w:line="600"/>
              <w:jc w:val="center"/>
            </w:pPr>
            <w:r/>
            <w:r>
              <w:rPr>
                <w:rFonts w:ascii="仿宋_GB2312" w:hAnsi="仿宋_GB2312" w:eastAsia="仿宋_GB2312"/>
                <w:b w:val="0"/>
                <w:color w:val="000000"/>
                <w:sz w:val="32"/>
              </w:rPr>
              <w:t>冠县烟庄街道冉子路与武训大道交叉口东</w:t>
            </w:r>
          </w:p>
        </w:tc>
      </w:tr>
      <w:tr>
        <w:tc>
          <w:tcPr>
            <w:tcW w:type="dxa" w:w="2551"/>
          </w:tcPr>
          <w:p>
            <w:pPr>
              <w:spacing w:lineRule="exact" w:line="600"/>
              <w:jc w:val="center"/>
            </w:pPr>
            <w:r/>
            <w:r>
              <w:rPr>
                <w:rFonts w:ascii="仿宋_GB2312" w:hAnsi="仿宋_GB2312" w:eastAsia="仿宋_GB2312"/>
                <w:b w:val="0"/>
                <w:color w:val="000000"/>
                <w:sz w:val="32"/>
              </w:rPr>
              <w:t>荣誉</w:t>
            </w:r>
          </w:p>
        </w:tc>
        <w:tc>
          <w:tcPr>
            <w:tcW w:type="dxa" w:w="6236"/>
          </w:tcPr>
          <w:p>
            <w:pPr>
              <w:spacing w:lineRule="exact" w:line="600"/>
              <w:jc w:val="center"/>
            </w:pPr>
            <w:r/>
            <w:r>
              <w:rPr>
                <w:rFonts w:ascii="仿宋_GB2312" w:hAnsi="仿宋_GB2312" w:eastAsia="仿宋_GB2312"/>
                <w:b w:val="0"/>
                <w:color w:val="000000"/>
                <w:sz w:val="32"/>
              </w:rPr>
              <w:t>2020年AAA级信用企业、重合同守信用企业</w:t>
            </w:r>
          </w:p>
        </w:tc>
      </w:tr>
      <w:tr>
        <w:tc>
          <w:tcPr>
            <w:tcW w:type="dxa" w:w="2551"/>
          </w:tcPr>
          <w:p>
            <w:pPr>
              <w:spacing w:lineRule="exact" w:line="600"/>
              <w:jc w:val="center"/>
            </w:pPr>
            <w:r/>
            <w:r>
              <w:rPr>
                <w:rFonts w:ascii="仿宋_GB2312" w:hAnsi="仿宋_GB2312" w:eastAsia="仿宋_GB2312"/>
                <w:b w:val="0"/>
                <w:color w:val="000000"/>
                <w:sz w:val="32"/>
              </w:rPr>
              <w:t>营收/利润</w:t>
            </w:r>
          </w:p>
        </w:tc>
        <w:tc>
          <w:tcPr>
            <w:tcW w:type="dxa" w:w="6236"/>
          </w:tcPr>
          <w:p>
            <w:pPr>
              <w:spacing w:lineRule="exact" w:line="600"/>
              <w:jc w:val="center"/>
            </w:pPr>
            <w:r/>
            <w:r>
              <w:rPr>
                <w:rFonts w:ascii="仿宋_GB2312" w:hAnsi="仿宋_GB2312" w:eastAsia="仿宋_GB2312"/>
                <w:b w:val="0"/>
                <w:color w:val="000000"/>
                <w:sz w:val="32"/>
              </w:rPr>
              <w:t>未公开披露</w:t>
            </w:r>
          </w:p>
        </w:tc>
      </w:tr>
    </w:tbl>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财务数据未公开披露。交安设施盈利受钢价与基建周期影响，作为区域中型厂家，毛利率处于行业中等水平。</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无公开资产数据。重资产属性，固定资产（产线、厂房）占比较高。</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无公开负债数据。注册资本1.07亿元，建议授信前核查有息负债与对外担保。</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无公开现金流数据。工程业务回款周期较长，需关注经营性现金流。</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与同集群龙头冠县北方交通设施（产量全国前三、年产能30余万吨）相比，众达规模小一个量级（参保29人），属区域中型配套厂家，需在细分与本地化上差异化竞争。</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民营控股的有限责任公司，由董云昌任法定代表人/实际控制人，董霄岳等主要股东参与经营，未建立董事会；作为交安设施厂家，建立基本质量管控。</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法定代表人董云昌，为企业实际控制人；主要股东董霄岳、毕杨参与经营。</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通过AAA级信用企业与重合同守信用企业认定，注重合同与信用管理；作为涉镀锌/酸洗金属制品企业，需关注安全环保合规。</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工商参保约29人，人员规模中等偏小，以生产、销售与工程人员为主。</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区域集群协同：位于冠县全国最大交安设施基地，上游原料（钢板、锌铝）就近配套、产业链完整，成本与交期优势明显。二是产品齐全：覆盖两波/三波护栏板、立柱、防阻块、柱帽、托架、螺栓等全系列，并可承接道路工程施工，一站式供货。三是资质与信誉：AAA级信用企业、重合同守信用企业，品牌信誉良好。四是资本实力：注册资本1.07亿元，具备一定扩产与接单能力。</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一是行业周期风险：依赖高速公路等基建投资，受宏观与财政支出影响；应对为拓展市政与海外。二是原料价格风险：钢、锌价格周期波动挤压毛利；应对为集采锁价。三是客户与回款风险：工程业务回款周期长，需强化应收账款管理。四是安全环保风险（重点）：涉酸洗、镀锌，环保与安全生产合规压力大，须持续投入。五是竞争风险：冠县集群内200余家企业同质化竞争，须以质量与信誉维持溢价。六是信息一致性风险：实缴资本口径不一、股权结构公开信息存在差异，授信前须核实工商底档。</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保理业务：对工程客户的应收账款可开展保理融资。供应链金融：围绕核心原料采购做订单融资、存货质押。融资租赁：护栏板产线（镀锌、喷塑设备）升级适合直租/回租。小贷：面向临时周转。鉴于企业规模中等、信誉良好（AAA级），建议以"应收保理+设备融资租赁"组合切入，并核实工商底档与实缴资本。</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冠县众达交通设施是冠县交安设施集群中产品齐全、信誉良好（AAA级）的中型配套厂家，区域协同与资本实力较好，但规模小于龙头、财务不透明、股权与实缴口径需核实。发展展望：据行业趋势与政策导向，交安设施需求稳健，公司可依托集群与全系列产品稳步发展，并向新型护栏升级。建议：一是对接应收保理与产线设备融资租赁；二是授信前核实工商底档、实缴资本与真实负债；三是将安全环保合规作为持续监测项；四是关注钢价波动与回款风险，设置动态监测。</w:t>
      </w:r>
    </w:p>
    <w:p>
      <w:pPr>
        <w:spacing w:lineRule="exact" w:line="600" w:before="0" w:after="0"/>
        <w:jc w:val="left"/>
      </w:pPr>
      <w:r>
        <w:rPr>
          <w:rFonts w:ascii="仿宋_GB2312" w:hAnsi="仿宋_GB2312" w:eastAsia="仿宋_GB2312"/>
          <w:b w:val="0"/>
          <w:color w:val="000000"/>
          <w:sz w:val="28"/>
        </w:rPr>
        <w:t>数据来源说明：天眼查/爱企查/企查查/万得（工商、股权、资质、社保人数）、企业官网zdbxhl.com（产品）、冠县县政府门户网站/聊城市政府门户网站（集群产量占全国60%以上、企业200余家）、公开荣誉信息（AAA级信用企业）。财务数据未公开披露，已如实标注；实缴资本与股权结构公开口径存在差异，已在正文中说明并建议核实工商底档。</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