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冠县交安设施特色产业集群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山东冠县宏奥交通设施有限公司企业分析报告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国家企业信用信息公示系统、天眼查/爱企查/企查查/启信宝、公司官网及权威媒体（滨州日报、大众日报、聊城日报、中国铸造协会、地方党报及政府官网）等公开渠道，统计时点截至最新披露信息；非上市企业未公开披露财务数据已如实标注，未作任何编造。报告供山东省投资有限公司业务参考之用。）</w:t>
      </w:r>
    </w:p>
    <w:p>
      <w:pPr>
        <w:spacing w:lineRule="exact" w:line="600" w:before="0" w:after="0"/>
        <w:jc w:val="left"/>
      </w:pPr>
      <w:r>
        <w:rPr>
          <w:rFonts w:ascii="仿宋_GB2312" w:hAnsi="仿宋_GB2312" w:eastAsia="仿宋_GB2312"/>
          <w:b w:val="0"/>
          <w:color w:val="000000"/>
          <w:sz w:val="28"/>
        </w:rPr>
        <w:t>（特别说明：据国家企业信用信息公示系统及天眼查/企查查公开信息，山东冠县宏奥交通设施有限公司登记状态为“注销”，注销日期为2021年12月17日，注销原因为“决议解散”。本报告基于该企业存续期间（2009—2021年）的公开工商与经营信息整理，供了解其历史经营脉络与集群背景之用；其财务数据未公开披露，相关历史经营数据已在文中注明口径与来源。）</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冠县宏奥交通设施有限公司成立于2009年4月22日，法定代表人为赵安秀，统一社会信用代码913715256882640625，企业类型为有限责任公司（自然人独资），注册资本500万元人民币（实缴500万元），注册地址位于山东省聊城市冠县烟庄乡赵辛庄村，登记机关为冠县市场监督管理局。股东为赵安秀，持股比例100%，为公司唯一股东及实际控制人，属民营独资企业。企业曾用经营状态为“在营（开业）”，后于2021年12月17日经决议解散注销。</w:t>
      </w:r>
    </w:p>
    <w:p>
      <w:pPr>
        <w:spacing w:lineRule="exact" w:line="600" w:before="0" w:after="0"/>
        <w:ind w:firstLine="420"/>
        <w:jc w:val="both"/>
      </w:pPr>
      <w:r>
        <w:rPr>
          <w:rFonts w:ascii="仿宋_GB2312" w:hAnsi="仿宋_GB2312" w:eastAsia="仿宋_GB2312"/>
          <w:b w:val="0"/>
          <w:color w:val="000000"/>
          <w:sz w:val="32"/>
        </w:rPr>
        <w:t>经营范围：交通设施及配件制造、销售；电力设施、冲压件加工、销售。（依法须经批准的项目，经相关部门批准后方可开展经营活动）。所属行业为金属制品业—结构性金属制品制造，国民经济行业分类对应铁路、船舶、航空航天和其他运输设备制造业中的交通设施制造。</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独资的单体制造企业，治理结构简易：设执行董事（赵安秀）与监事（赵安庆），未设董事会；采用“生产+销售+外贸”一体化经营模式，下设热浸镀锌、热浸镀铝、静电喷塑、热浸涂塑等生产线及销售、外贸业务单元。对外投资与分支机构信息有限，组织层级较为扁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可溯至2005年前后在冠县烟庄工业园区设立的交通设施加工点，依托冠县“江北水城”区位与周边交通网络（毗邻济馆高速，距冠县出口约3公里，329省道傍厂而过）起步。历经数年发展，相继投资建设两条热浸镀锌生产线、两条热浸镀铝生产线、两条静电喷塑生产线及一条热浸涂塑生产线，形成年综合生产能力15万吨的护栏及交通设施制造能力。2006年通过中国冶金质量体系认证中心ISO9001质量体系认证，并取得交通部交通工程监理检测中心批量生产许可证。存续期间曾产销两旺，据企业黄页披露，2010年销售收入达6亿余元、利税2600余万元；后因经营调整，于2021年12月决议解散注销。</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高速公路护栏设施及交通安全设施专业制造商。主营业务为高速公路护栏设施及附件、标志立柱、电力设施及高铁设施用金属构件的研发、制造与销售。核心产品包括波形梁钢护栏板（双波/三波）、护栏立柱、防阻块、托架、端头等交安设施配件，以及电力与高铁相关金属结构件。</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高速公路护栏及交安设施为核心，向下游延伸至标志立柱、电力设施与高铁设施金属构件；按工艺分为热浸镀锌、热浸镀铝、静电喷塑、热浸涂塑等防腐处理线与成型加工线。收入结构以护栏板及配件销售为主，出口为辅。公司未公开披露分产品收入占比；公开黄页披露其历史鼎盛期（2010年）销售收入约6亿元，其中周边省份市场占有率40%以上。</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波形梁钢护栏板（双波、三波，型号3.0/4.0等）、立柱、防阻块、托架、端头、标志立柱，以及电力设施、高铁设施用金属构件；具备热浸镀锌、镀铝、静电喷塑、热浸涂塑等全流程表面处理能力。产品符合交通部规范质量要求，持有交通工程产品批量生产许可证与检测报告。</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高速公路建设、公路安保工程、铁路与电力工程业主及施工方为主；产品曾销售覆盖全国，远销东北三省、内蒙、甘肃、云南、两广等地区，并在周边省份取得40%以上市场占有率；同时出口俄罗斯、马来西亚、新加坡等地。客户结构以工程招投标与经销为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生产所需带钢、钢板等钢材原料及锌、铝等镀层金属为主要采购对象，原料价格受钢铁与有色金属行情波动影响显著，是公司成本控制的关键变量。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历史公开信息显示：企业总资产约2000万元，占地60亩，员工约160人（其中高级工程师2人、助理工程师12人）；拥有2条热浸镀锌线、2条热浸镀铝线、2条静电喷塑线、1条热浸涂塑线，具备15万吨/年综合生产能力；2006年取得ISO9001质量体系认证及交通部交通工程监理检测中心批量生产许可证（编号HGZ-09-158）、检测报告（编号2009-CA01-095）等资质证书。</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采用“工程直销+经销+出口”模式，参与高速公路与公路安保工程招投标，并通过外贸渠道出口；官网（jtsslm相关页面）承担产品展示与客户对接功能。</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且已注销，近三年完整财务数据未公开披露。公开黄页披露其历史鼎盛期（2010年）销售收入约6亿元、利税2600余万元，周边省份市场占有率40%以上，累计供货约8000公里，并出口俄罗斯、马来西亚、新加坡等地。上述为历史经营数据，仅供了解其存续期间规模与区域地位，不代表注销前最新经营状况。</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山东冠县宏奥交通设施有限公司为非上市民营企业且已注销，近三年财务报表未公开披露，以下仅列公开工商与历史经营信息，不作任何财务数据编造。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500万元（实缴500万元）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2009-04-22</w:t>
            </w:r>
          </w:p>
        </w:tc>
      </w:tr>
      <w:tr>
        <w:tc>
          <w:tcPr>
            <w:tcW w:type="dxa" w:w="2551"/>
          </w:tcPr>
          <w:p>
            <w:pPr>
              <w:spacing w:lineRule="exact" w:line="600"/>
              <w:jc w:val="center"/>
            </w:pPr>
            <w:r/>
            <w:r>
              <w:rPr>
                <w:rFonts w:ascii="仿宋_GB2312" w:hAnsi="仿宋_GB2312" w:eastAsia="仿宋_GB2312"/>
                <w:b w:val="0"/>
                <w:color w:val="000000"/>
                <w:sz w:val="32"/>
              </w:rPr>
              <w:t>注销时间</w:t>
            </w:r>
          </w:p>
        </w:tc>
        <w:tc>
          <w:tcPr>
            <w:tcW w:type="dxa" w:w="6236"/>
          </w:tcPr>
          <w:p>
            <w:pPr>
              <w:spacing w:lineRule="exact" w:line="600"/>
              <w:jc w:val="center"/>
            </w:pPr>
            <w:r/>
            <w:r>
              <w:rPr>
                <w:rFonts w:ascii="仿宋_GB2312" w:hAnsi="仿宋_GB2312" w:eastAsia="仿宋_GB2312"/>
                <w:b w:val="0"/>
                <w:color w:val="000000"/>
                <w:sz w:val="32"/>
              </w:rPr>
              <w:t>2021-12-17（决议解散）</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有限责任公司（自然人独资）</w:t>
            </w:r>
          </w:p>
        </w:tc>
      </w:tr>
      <w:tr>
        <w:tc>
          <w:tcPr>
            <w:tcW w:type="dxa" w:w="2551"/>
          </w:tcPr>
          <w:p>
            <w:pPr>
              <w:spacing w:lineRule="exact" w:line="600"/>
              <w:jc w:val="center"/>
            </w:pPr>
            <w:r/>
            <w:r>
              <w:rPr>
                <w:rFonts w:ascii="仿宋_GB2312" w:hAnsi="仿宋_GB2312" w:eastAsia="仿宋_GB2312"/>
                <w:b w:val="0"/>
                <w:color w:val="000000"/>
                <w:sz w:val="32"/>
              </w:rPr>
              <w:t>历史资产总额</w:t>
            </w:r>
          </w:p>
        </w:tc>
        <w:tc>
          <w:tcPr>
            <w:tcW w:type="dxa" w:w="6236"/>
          </w:tcPr>
          <w:p>
            <w:pPr>
              <w:spacing w:lineRule="exact" w:line="600"/>
              <w:jc w:val="center"/>
            </w:pPr>
            <w:r/>
            <w:r>
              <w:rPr>
                <w:rFonts w:ascii="仿宋_GB2312" w:hAnsi="仿宋_GB2312" w:eastAsia="仿宋_GB2312"/>
                <w:b w:val="0"/>
                <w:color w:val="000000"/>
                <w:sz w:val="32"/>
              </w:rPr>
              <w:t>约2,000万元（黄页口径）</w:t>
            </w:r>
          </w:p>
        </w:tc>
      </w:tr>
      <w:tr>
        <w:tc>
          <w:tcPr>
            <w:tcW w:type="dxa" w:w="2551"/>
          </w:tcPr>
          <w:p>
            <w:pPr>
              <w:spacing w:lineRule="exact" w:line="600"/>
              <w:jc w:val="center"/>
            </w:pPr>
            <w:r/>
            <w:r>
              <w:rPr>
                <w:rFonts w:ascii="仿宋_GB2312" w:hAnsi="仿宋_GB2312" w:eastAsia="仿宋_GB2312"/>
                <w:b w:val="0"/>
                <w:color w:val="000000"/>
                <w:sz w:val="32"/>
              </w:rPr>
              <w:t>历史年销售收入</w:t>
            </w:r>
          </w:p>
        </w:tc>
        <w:tc>
          <w:tcPr>
            <w:tcW w:type="dxa" w:w="6236"/>
          </w:tcPr>
          <w:p>
            <w:pPr>
              <w:spacing w:lineRule="exact" w:line="600"/>
              <w:jc w:val="center"/>
            </w:pPr>
            <w:r/>
            <w:r>
              <w:rPr>
                <w:rFonts w:ascii="仿宋_GB2312" w:hAnsi="仿宋_GB2312" w:eastAsia="仿宋_GB2312"/>
                <w:b w:val="0"/>
                <w:color w:val="000000"/>
                <w:sz w:val="32"/>
              </w:rPr>
              <w:t>约6亿元（2010年黄页口径）</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未公开披露，企业已注销</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财务数据未公开披露。交通设施制造行业毛利率受钢材与镀层金属价格、加工费竞争影响，通常处于中游水平；历史黄页披露的2010年利税2600余万元提示其鼎盛期具备一定盈利规模。</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无公开资产明细。制造业属性下资产以设备、存货与应收为主，需关注账期与存货周转。</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无公开负债数据。公开司法信息显示公司存续期间存在多起金融借款合同纠纷（开庭公告9条、裁判文书若干），提示其曾面临一定偿债与融资压力，最终于2021年决议解散注销。</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无公开现金流数据。工程类业务回款周期较长，结合多起金融借款合同纠纷，推测其存续期间存在现金流与偿债压力。</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与冠县交安设施集群内现存企业相比，宏奥属历史上规模较大的骨干企业（历史周边省份市占率40%以上），但已注销退出，现集群由其他存续企业承接产能与市场。</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自然人独资的有限责任公司，设执行董事（赵安秀，兼任经理）与监事（赵安庆），治理简洁，重大事项由唯一股东决定，未建立董事会。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法定代表人、执行董事赵安秀（持股100%）；监事赵安庆。管理以创始人主导，决策链条短。</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作为金属防腐与交通设施制造企业，须关注安全生产与环保合规；2006年通过ISO9001体系认证，具备基本质量内控能力。</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历史黄页披露员工约160人，其中高级工程师2人、助理工程师12人；技术工人为主。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区域集群配套：位于冠县交安设施产业集聚区，上下游配套与产业链协同便利。二是工艺与资质：具备热浸镀锌/镀铝/喷塑/涂塑全流程防腐能力，通过ISO9001及交通部批量生产许可证，产品符合交通工程规范。三是历史规模与渠道：鼎盛期周边省份市占率40%以上、出口多国，积累一定品牌与客户资源。四是灵活经营：民营独资决策链条短，可快速响应工程订单。</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退出与持续经营风险：企业已于2021年决议解散注销，不再具备持续经营能力，相关合作与授信须以注销状态为前提审慎评估。二是原料与价格风险：钢材、锌、铝等价格随行情波动，直接影响成本与毛利。三是客户与回款风险：工程业务回款周期长、集中度较高，存续期间存在多起金融借款合同纠纷，提示应收账款与偿债风险。四是安全环保风险：金属防腐涉及环保排放，须合规投入。五是竞争风险：交安设施制造门槛相对有限、同质化竞争严重，加工费承压。</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鉴于企业已注销，常规保理、供应链金融、融资租赁、小贷等增量融资业务已不具备实施基础；但若以承接其历史产能、资质与客户的存续关联企业为对象，可围绕其工程应收账款开展保理，围绕核心工程客户做订单融资与票据贴现，并以设备直租/回租盘活固定资产。山东投资可重点关注冠县交安设施集群内存续的优质骨干企业，作为交安设施赛道的切入标的。</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冠县宏奥交通设施有限公司曾是冠县交安设施产业集群的骨干企业，具备全流程防腐工艺、交通部生产资质与较高的区域市场占有率，但受经营调整与偿债压力影响，已于2021年注销退出。发展展望：冠县交安设施产业基础仍在，集群由存续企业承接发展；据行业趋势，高速公路改扩建、农村公路安保与铁路/电力设施建设将维持交安设施稳定需求。建议：山东投资将交安设施赛道研究重心转向集群内存续骨干企业，以应收账款保理与设备融资租赁为切入点，同时高度关注企业持续经营状态与涉诉、回款风险，避免对注销主体开展新增授信。</w:t>
      </w:r>
    </w:p>
    <w:p>
      <w:pPr>
        <w:spacing w:lineRule="exact" w:line="600" w:before="0" w:after="0"/>
        <w:jc w:val="left"/>
      </w:pPr>
      <w:r>
        <w:rPr>
          <w:rFonts w:ascii="仿宋_GB2312" w:hAnsi="仿宋_GB2312" w:eastAsia="仿宋_GB2312"/>
          <w:b w:val="0"/>
          <w:color w:val="000000"/>
          <w:sz w:val="28"/>
        </w:rPr>
        <w:t>数据来源说明：国家企业信用信息公示系统、天眼查/企查查（工商、股权、注销及涉诉信息）、企业黄页/商铺（m2.com.cn，历史产能、资产、市占率与出口信息）、交通部交通工程监理检测中心资质信息。财务数据未公开披露且企业已注销，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