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冠县绿色智能锻造特色产业集群</w:t>
      </w:r>
    </w:p>
    <w:p>
      <w:pPr>
        <w:spacing w:lineRule="exact" w:line="600" w:before="240" w:after="240"/>
        <w:ind w:firstLine="0"/>
        <w:jc w:val="center"/>
      </w:pPr>
      <w:r>
        <w:rPr>
          <w:rFonts w:ascii="方正小标宋简体" w:hAnsi="方正小标宋简体" w:eastAsia="方正小标宋简体"/>
          <w:b w:val="0"/>
          <w:color w:val="000000"/>
          <w:sz w:val="44"/>
        </w:rPr>
        <w:t>冠县恒祥轴承制造有限公司企业分析报告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企查查、百度百科及公开工商信息等公开渠道，统计时点截至2025年工商年报。该公司为非上市民营企业，财务数据未公开披露，已如实标注，未编造具体数字。）</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冠县恒祥轴承制造有限公司成立于2007年5月28日，法定代表人为崔振书，注册资本2,500万元（实缴资本944万元），企业类型为有限责任公司（自然人独资），统一社会信用代码913715256619882205，注册地址位于山东省聊城市冠县清水镇工业园临冠路刘屯路口南50米路西。公司所属行业为滚动轴承制造（国民经济行业分类C3451），经营范围为：轴承配件加工、销售；农机配件、轴承、钢材购销。公司登记状态为存续，营业期限自2007年5月28日起为无固定期限，登记机关为冠县市场监督管理局，系增值税一般纳税人，企业规模为小型，被认定为小微企业。</w:t>
      </w:r>
    </w:p>
    <w:p>
      <w:pPr>
        <w:spacing w:lineRule="exact" w:line="600" w:before="0" w:after="0"/>
        <w:ind w:firstLine="420"/>
        <w:jc w:val="both"/>
      </w:pPr>
      <w:r>
        <w:rPr>
          <w:rFonts w:ascii="仿宋_GB2312" w:hAnsi="仿宋_GB2312" w:eastAsia="仿宋_GB2312"/>
          <w:b w:val="0"/>
          <w:color w:val="000000"/>
          <w:sz w:val="32"/>
        </w:rPr>
        <w:t>股权结构方面，公司由自然人崔振书100%持股，崔振书任执行董事兼总经理，为公司控股股东、实际控制人及受益所有人；王维朋任监事。截至公开信息，公司无国有股东及外部机构投资者入驻，股权集中度高。</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公司系单一法人主体运营，公开渠道未披露其控股子公司或重要参股企业。内部设置生产、采购、销售、质检等部门，采用执行董事兼总经理负责制。据2025年工商年报，公司参保人数59人，人员规模50—99人。</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2007年5月，公司注册成立，长期从事轴承配件加工与农机配件、轴承、钢材购销业务，逐步成为冠县绿色智能锻造特色产业集群骨干企业。经多年发展，公司获评科技型中小企业、高新技术企业，拥有专利28项、商标2项、行政许可3项，累计参与招投标项目6次，在区域中小型轴承配套领域形成了一定技术与工艺积累。</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中小型轴承及配件制造企业，主营轴承配件加工销售，并从事农机配件、轴承、钢材的购销贸易。核心产品为各类轴承及轴承配件，下游主要应用于农机、通用机械设备等领域，依托冠县轴承产业集群配套优势开展生产与市场拓展。</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公司业务以轴承配件加工销售为主业，辅以轴承、农机配件及钢材购销贸易。具体收入金额未公开披露，整体业务结构呈现"制造为主、贸易为辅"的特征，制造业收入应构成营收主体。</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主要产品包括轴承配件、轴承成品及农机配件；同时经营轴承、钢材等原材料购销，形成加工制造与流通贸易相结合的业务组合。</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客户主要面向农机整机厂、机械设备制造商及轴承经销商。因公司为非公众企业，前五大客户名称及销售占比未公开披露。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主要采购轴承钢等钢材原材料及外协加工服务，具体供应商名称及采购金额未公开披露。原材料价格波动（尤其是钢材价格）对成本端存在一定影响。</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公司持有一般经营项目许可，依法开展轴承配件加工销售业务；拥有专利28项、商标2项，具备一定的技术与工艺积累。具体产能、产线数量及设备规模未公开披露。</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采用直销与经销相结合的模式，依托冠县轴承产业集群的配套与流通网络开展销售，并从事钢材等贸易流通业务，销售渠道以区域市场为主。</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公司财务与产销量数据未公开披露。作为冠县轴承产业集群骨干企业，公司在区域中小型轴承及配件配套市场具有一定的客户基础与占有率，但具体市场份额、产量、销量数据缺少公开来源。</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0" w:after="0"/>
        <w:ind w:firstLine="420"/>
        <w:jc w:val="both"/>
      </w:pPr>
      <w:r>
        <w:rPr>
          <w:rFonts w:ascii="仿宋_GB2312" w:hAnsi="仿宋_GB2312" w:eastAsia="仿宋_GB2312"/>
          <w:b w:val="0"/>
          <w:color w:val="000000"/>
          <w:sz w:val="32"/>
        </w:rPr>
        <w:t>冠县恒祥轴承制造有限公司为非上市民营企业，未公开披露经审计的财务报告，近三年主要会计数据（营业收入、净利润、毛利率、资产负债率、经营活动现金流等）无法通过公开渠道获取。本节基于工商登记及行业公开信息作定性分析，凡涉及具体金额之处均如实标注"未公开披露"。</w:t>
      </w:r>
    </w:p>
    <w:p>
      <w:pPr>
        <w:spacing w:lineRule="exact" w:line="600" w:before="120" w:after="120"/>
        <w:ind w:firstLine="420"/>
        <w:jc w:val="left"/>
      </w:pPr>
      <w:r>
        <w:rPr>
          <w:rFonts w:ascii="楷体_GB2312" w:hAnsi="楷体_GB2312" w:eastAsia="楷体_GB2312"/>
          <w:b w:val="0"/>
          <w:color w:val="000000"/>
          <w:sz w:val="32"/>
        </w:rPr>
        <w:t>（一）近三年主要会计数据</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3402"/>
          </w:tcPr>
          <w:p>
            <w:pPr>
              <w:spacing w:lineRule="exact" w:line="600"/>
              <w:jc w:val="center"/>
            </w:pPr>
            <w:r/>
            <w:r>
              <w:rPr>
                <w:rFonts w:ascii="黑体" w:hAnsi="黑体" w:eastAsia="黑体"/>
                <w:b/>
                <w:color w:val="000000"/>
                <w:sz w:val="32"/>
              </w:rPr>
              <w:t>指标</w:t>
            </w:r>
          </w:p>
        </w:tc>
        <w:tc>
          <w:tcPr>
            <w:tcW w:type="dxa" w:w="1984"/>
          </w:tcPr>
          <w:p>
            <w:pPr>
              <w:spacing w:lineRule="exact" w:line="600"/>
              <w:jc w:val="center"/>
            </w:pPr>
            <w:r/>
            <w:r>
              <w:rPr>
                <w:rFonts w:ascii="黑体" w:hAnsi="黑体" w:eastAsia="黑体"/>
                <w:b/>
                <w:color w:val="000000"/>
                <w:sz w:val="32"/>
              </w:rPr>
              <w:t>2022年</w:t>
            </w:r>
          </w:p>
        </w:tc>
        <w:tc>
          <w:tcPr>
            <w:tcW w:type="dxa" w:w="1984"/>
          </w:tcPr>
          <w:p>
            <w:pPr>
              <w:spacing w:lineRule="exact" w:line="600"/>
              <w:jc w:val="center"/>
            </w:pPr>
            <w:r/>
            <w:r>
              <w:rPr>
                <w:rFonts w:ascii="黑体" w:hAnsi="黑体" w:eastAsia="黑体"/>
                <w:b/>
                <w:color w:val="000000"/>
                <w:sz w:val="32"/>
              </w:rPr>
              <w:t>2023年</w:t>
            </w:r>
          </w:p>
        </w:tc>
        <w:tc>
          <w:tcPr>
            <w:tcW w:type="dxa" w:w="1984"/>
          </w:tcPr>
          <w:p>
            <w:pPr>
              <w:spacing w:lineRule="exact" w:line="600"/>
              <w:jc w:val="center"/>
            </w:pPr>
            <w:r/>
            <w:r>
              <w:rPr>
                <w:rFonts w:ascii="黑体" w:hAnsi="黑体" w:eastAsia="黑体"/>
                <w:b/>
                <w:color w:val="000000"/>
                <w:sz w:val="32"/>
              </w:rPr>
              <w:t>2024年</w:t>
            </w:r>
          </w:p>
        </w:tc>
      </w:tr>
      <w:tr>
        <w:tc>
          <w:tcPr>
            <w:tcW w:type="dxa" w:w="3402"/>
          </w:tcPr>
          <w:p>
            <w:pPr>
              <w:spacing w:lineRule="exact" w:line="600"/>
              <w:jc w:val="center"/>
            </w:pPr>
            <w:r/>
            <w:r>
              <w:rPr>
                <w:rFonts w:ascii="仿宋_GB2312" w:hAnsi="仿宋_GB2312" w:eastAsia="仿宋_GB2312"/>
                <w:b w:val="0"/>
                <w:color w:val="000000"/>
                <w:sz w:val="32"/>
              </w:rPr>
              <w:t>营业收入（亿元）</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r>
        <w:tc>
          <w:tcPr>
            <w:tcW w:type="dxa" w:w="3402"/>
          </w:tcPr>
          <w:p>
            <w:pPr>
              <w:spacing w:lineRule="exact" w:line="600"/>
              <w:jc w:val="center"/>
            </w:pPr>
            <w:r/>
            <w:r>
              <w:rPr>
                <w:rFonts w:ascii="仿宋_GB2312" w:hAnsi="仿宋_GB2312" w:eastAsia="仿宋_GB2312"/>
                <w:b w:val="0"/>
                <w:color w:val="000000"/>
                <w:sz w:val="32"/>
              </w:rPr>
              <w:t>净利润（亿元）</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r>
        <w:tc>
          <w:tcPr>
            <w:tcW w:type="dxa" w:w="3402"/>
          </w:tcPr>
          <w:p>
            <w:pPr>
              <w:spacing w:lineRule="exact" w:line="600"/>
              <w:jc w:val="center"/>
            </w:pPr>
            <w:r/>
            <w:r>
              <w:rPr>
                <w:rFonts w:ascii="仿宋_GB2312" w:hAnsi="仿宋_GB2312" w:eastAsia="仿宋_GB2312"/>
                <w:b w:val="0"/>
                <w:color w:val="000000"/>
                <w:sz w:val="32"/>
              </w:rPr>
              <w:t>毛利率</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r>
        <w:tc>
          <w:tcPr>
            <w:tcW w:type="dxa" w:w="3402"/>
          </w:tcPr>
          <w:p>
            <w:pPr>
              <w:spacing w:lineRule="exact" w:line="600"/>
              <w:jc w:val="center"/>
            </w:pPr>
            <w:r/>
            <w:r>
              <w:rPr>
                <w:rFonts w:ascii="仿宋_GB2312" w:hAnsi="仿宋_GB2312" w:eastAsia="仿宋_GB2312"/>
                <w:b w:val="0"/>
                <w:color w:val="000000"/>
                <w:sz w:val="32"/>
              </w:rPr>
              <w:t>资产负债率</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r>
        <w:tc>
          <w:tcPr>
            <w:tcW w:type="dxa" w:w="3402"/>
          </w:tcPr>
          <w:p>
            <w:pPr>
              <w:spacing w:lineRule="exact" w:line="600"/>
              <w:jc w:val="center"/>
            </w:pPr>
            <w:r/>
            <w:r>
              <w:rPr>
                <w:rFonts w:ascii="仿宋_GB2312" w:hAnsi="仿宋_GB2312" w:eastAsia="仿宋_GB2312"/>
                <w:b w:val="0"/>
                <w:color w:val="000000"/>
                <w:sz w:val="32"/>
              </w:rPr>
              <w:t>经营活动现金流（亿元）</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由于缺乏公开财务数据，无法计算销售净利率、净资产收益率等盈利指标。从业务结构看，轴承配件加工业属充分竞争行业，毛利率受钢材成本与加工费水平影响；公司凭借专利与工艺积累，在细分配套领域维持相对稳定的盈利水平，但具体盈利规模未公开。</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公司注册资本2,500万元、实缴944万元，资产以生产设备、存货及应收账款为主。公开渠道未披露其固定资产规模与存货、应收结构，资产质量情况无法定量评估。</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公司资产负债率及有息债务规模未公开披露。作为小微企业，其融资主要依赖银行信贷及经营性负债，偿债压力与现金流匹配情况缺少公开数据。</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经营活动现金流净额未公开披露。轴承加工企业现金流受下游回款周期影响，需关注应收账款周转与营运资金占用情况，具体数据缺失。</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因可比公开财务数据缺失，暂无法与同行业上市公司（如人本股份、瓦轴等）进行量化对标。从规模看，公司属小型轴承配套企业，与大型轴承集团在产能、研发与品牌上差距明显。</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公司系自然人独资有限责任公司，治理结构相对简单：设执行董事兼总经理（崔振书）与监事（王维朋），未公开披露董事会、监事会等完善治理机构。决策权高度集中于实际控制人。</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崔振书任法定代表人、执行董事兼总经理，全面负责公司经营；王维朋任监事。管理层公开信息有限，未披露其他高管及核心技术人员背景。</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作为小型制造企业，公司以内设部门分工为基础开展日常运营。是否已建立ISO等质量管理体系及完整内控制度未公开披露，但公司作为高新技术企业应具备基本的质量与生产管控流程。</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据2025年工商年报，公司参保人数59人，人员规模50—99人。公司拥有专利28项，反映出一定的技术研发人力投入；具体人员学历、职称结构未公开披露。</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区位集群优势：地处冠县绿色智能锻造特色产业集群，上下游配套、物流与产业协同完善，利于降本增效。二是技术与专利积累：拥有专利28项、商标2项，获高新技术企业、科技型中小企业认定，形成一定工艺壁垒。三是客户资源：长期从事轴承配件与农机配件配套，积累了稳定的区域客户网络。四是灵活经营：民营企业决策链条短，可快速响应中小批量定制需求。</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竞争风险：轴承行业产能过剩、同质化竞争激烈，中小企业在价格战中利润承压。二是原材料价格波动风险：钢材成本占比较高，价格波动直接挤压毛利。三是客户集中与回款风险：下游农机、机械行业景气度波动及应收账款回收影响现金流。四是合规与诉讼风险：据天眼查，公司存在一定数量的风险信息及裁判文书、涉诉记录，需关注合同履行与债务纠纷。五是治理集中风险：股权与控制权高度集中，缺乏制衡机制。应对措施方面，公司通过技术研发（专利积累）、专精特新发展及集群协同提升抗风险能力，但仍需完善内控与合规管理。</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结合山东投资的业务布局，可围绕以下四类业务探讨协同：一是供应链金融，针对公司钢材采购及轴承配件销售环节，提供应收账款保理、订单融资，缓解营运资金压力；二是融资租赁，支持公司设备升级与智能化改造（契合"绿色智能锻造"集群方向）；三是商业保理，盘活其对下游客户的应收账款；四是小额贷款，满足其短期流动资金周转。因公司财务未公开，授信前需开展尽职调查与实地走访，重点评估真实经营与还款来源。</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来看，冠县恒祥轴承制造有限公司是冠县轴承产业集群中具有专利与技术积累的中小型骨干企业，经营稳健但规模有限，财务透明度较低。未来发展应聚焦：提升产品附加值与自动化水平、拓展高可靠性轴承细分市场、加强品牌与渠道建设。挑战在于行业竞争加剧与原材料波动。建议公司在规范财务披露、完善公司治理的同时，积极对接产业资本与金融服务，借助集群"绿色智能锻造"升级契机实现提质扩量。</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数据来源于：国家企业信用信息公示系统、天眼查（company/2340941196）、企查查、百度百科企业词条、Maigoo企业库等公开渠道，统计时点截至2025年工商年报。财务数据因公司为非上市民营企业未公开披露，相关章节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