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冠县高端棉纺织特色产业集群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冠县冠星纺织集团总公司企业分析报告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冠星纺织集团总公司成立于1993年10月13日，注册资本3048万元，注册地山东省聊城市冠县，法定代表人为马文革，企业类型为全民所有制。公司拥有约90万纱锭、年产棉纱约11万吨，是中国驰名商标持有企业、冠县棉纺织龙头，属“冠县高端棉纺织特色产业集群”核心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公司为全民所有制纺织集团，下设纺纱等生产单元，按国有（集体）企业管理架构运行。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公司自1993年设立，历经三十年发展成为冠县最大的纺纱企业之一，装备规模与品牌在省内领先。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定位为高档棉纱供应商，主营棉纱生产与销售，是中国驰名商标企业。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收入以棉纱为主，年产棉纱约11万吨；财务数据未公开披露。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各类棉纱（含高档精梳纱），服务于织造与面料企业。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客户为下游织造、面料及服装企业，以国内为主。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采购棉花等原料，受棉花价格与配额影响。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约90万纱锭、年产棉纱约11万吨，装备规模在区域领先。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以直销与经销结合，品牌纱线具市场认知度。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财务数据未公开披露；公司在冠县纱线市场占有重要份额。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财务数据未公开披露。公司为全民所有制企业，未公开披露经审计合并财报，以下不作具体数字列示。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因财务数据未公开，盈利、资产、负债、现金流及对标分析从略；盈利与棉价、纱价及开工率相关。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全民所有制企业，设厂长/经理负责制，重大事项按国资（集体）监管程序决策，突出党建与“三重一大”。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法定代表人马文革，管理层具纺织行业经验。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以生产、质量、采购、销售内控为主，党组织发挥把关作用。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作为大型纺纱企业，用工规模较大（千人以上级），技术工人队伍稳定。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一是规模优势：约90万纱锭区域领先；二是品牌优势：中国驰名商标；三是集群协同：冠县高端棉纺集群配套完善；四是原料渠道：棉花采购体系成熟。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一是棉价风险：棉花与纱价波动挤压利润；二是需求风险：纺织服装出口与内需波动；三是人工成本：纺织用工成本上升；四是绿色风险：能耗与排放约束。公司通过产品结构升级与品牌溢价应对。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可探讨：一是供应链金融：围绕棉花采购与棉纱销售，提供应收账款融资与存货（棉纱）质押；二是融资租赁：纺纱设备升级直租/回租；三是保理：对销售应收账款开展保理；四是小贷：配套供应商周转。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星纺织是冠县棉纺龙头，规模与品牌兼具，但全民所有制机制与财务透明度待提升。建议：一是推进设备智能化与高支纱升级；二是借助山东投资类金融资源优化资金；三是强化党建与市场化经营。综合看，公司在集群中地位重要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数据来源说明：天眼查/企查查工商登记、冠县政府官网、聊城日报等公开报道。财务数据未公开披露，已如实标注。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