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利津县高端树脂新材料特色产业集群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利华益利津炼化有限公司企业分析报告</w:t>
      </w:r>
    </w:p>
    <w:p>
      <w:pPr>
        <w:spacing w:lineRule="exact" w:line="600" w:before="0" w:after="0"/>
        <w:jc w:val="left"/>
      </w:pPr>
      <w:r>
        <w:rPr>
          <w:rFonts w:ascii="仿宋_GB2312" w:hAnsi="仿宋_GB2312" w:eastAsia="仿宋_GB2312"/>
          <w:b w:val="0"/>
          <w:color w:val="000000"/>
          <w:sz w:val="28"/>
        </w:rPr>
        <w:t>（本报告依据利华益集团公开宣传、行业报道及利津县公开产业资料编制，涉及未公开披露事项均如实标注，用于产业集群代表企业分析参考。）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利华益利津炼化有限公司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东营市利津县（利华益集团炼化基地）</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利津县高端树脂新材料特色产业集群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炼化一体化与基础化工原料</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汽柴油、化工原料及PC/ABS/PS/ASA等高端树脂</w:t>
            </w:r>
          </w:p>
        </w:tc>
      </w:tr>
      <w:tr>
        <w:tc>
          <w:tcPr>
            <w:tcW w:type="dxa" w:w="2381"/>
          </w:tcPr>
          <w:p>
            <w:pPr>
              <w:spacing w:lineRule="exact" w:line="600"/>
              <w:jc w:val="center"/>
            </w:pPr>
            <w:r/>
            <w:r>
              <w:rPr>
                <w:rFonts w:ascii="仿宋_GB2312" w:hAnsi="仿宋_GB2312" w:eastAsia="仿宋_GB2312"/>
                <w:b w:val="0"/>
                <w:color w:val="000000"/>
                <w:sz w:val="32"/>
              </w:rPr>
              <w:t>控股股东</w:t>
            </w:r>
          </w:p>
        </w:tc>
        <w:tc>
          <w:tcPr>
            <w:tcW w:type="dxa" w:w="6463"/>
          </w:tcPr>
          <w:p>
            <w:pPr>
              <w:spacing w:lineRule="exact" w:line="600"/>
              <w:jc w:val="center"/>
            </w:pPr>
            <w:r/>
            <w:r>
              <w:rPr>
                <w:rFonts w:ascii="仿宋_GB2312" w:hAnsi="仿宋_GB2312" w:eastAsia="仿宋_GB2312"/>
                <w:b w:val="0"/>
                <w:color w:val="000000"/>
                <w:sz w:val="32"/>
              </w:rPr>
              <w:t>利华益集团股份有限公司（炼化板块核心）</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利华益利津炼化有限公司是利华益集团股份有限公司炼化板块的核心企业，位于东营市利津县，依托原油一次加工基础与丙烯产业链，构建起PC、ABS、PS、ASA等4条全产业链及丁辛醇、MTBE、MMA、PP、锂电溶剂5条产业链共9条链条，确立原油、丙烷双原料体系优势，是利津县高端树脂新材料集群的基石与上游源头。</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在工商登记信息方面，公司成立时间、法定代表人、统一社会信用代码等基础事项以国家企业信用信息公示系统及公开披露信息为准。实际开展业务时应调取营业执照、公司章程、股东名册等原件核验。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资料，利华益利津炼化是利华益集团炼化板块核心企业。利华益集团股份有限公司是以石油化工为主导、兼有制药纺织多元化经营的股份制大型民营企业，2024年实现销售收入1590.33亿元、利税145.18亿元，位列中国企业500强第186位、中国石油化工民营企业100强第6位，是山东省高端化工产业集群领军企业与重点产业链链主企业。</w:t>
      </w:r>
    </w:p>
    <w:p>
      <w:pPr>
        <w:spacing w:lineRule="exact" w:line="600" w:before="0" w:after="0"/>
        <w:ind w:firstLine="420"/>
        <w:jc w:val="both"/>
      </w:pPr>
      <w:r>
        <w:rPr>
          <w:rFonts w:ascii="仿宋_GB2312" w:hAnsi="仿宋_GB2312" w:eastAsia="仿宋_GB2312"/>
          <w:b w:val="0"/>
          <w:color w:val="000000"/>
          <w:sz w:val="32"/>
        </w:rPr>
        <w:t>从出资人属性看，利华益集团为民营控股的大型股份制企业，利津炼化作为其炼化板块核心，经营目标与资金调度需服从集团整体战略，存在资金上划、关联往来占用等情形。金融机构应重点核查集团整体负债水平、对该主体的实际支持方式、关联交易规模与定价机制，以及集团资金归集安排对该主体流动性的影响。</w:t>
      </w:r>
    </w:p>
    <w:p>
      <w:pPr>
        <w:spacing w:lineRule="exact" w:line="600" w:before="0" w:after="0"/>
        <w:ind w:firstLine="420"/>
        <w:jc w:val="both"/>
      </w:pPr>
      <w:r>
        <w:rPr>
          <w:rFonts w:ascii="仿宋_GB2312" w:hAnsi="仿宋_GB2312" w:eastAsia="仿宋_GB2312"/>
          <w:b w:val="0"/>
          <w:color w:val="000000"/>
          <w:sz w:val="32"/>
        </w:rPr>
        <w:t>作为大型民营集团的核心子公司，利津炼化在要素保障、银行信贷与产业链协同方面具备显著集团优势，但需关注集团整体债务与跨板块风险传导。</w:t>
      </w:r>
    </w:p>
    <w:p>
      <w:pPr>
        <w:spacing w:lineRule="exact" w:line="600" w:before="0" w:after="0"/>
        <w:ind w:firstLine="420"/>
        <w:jc w:val="both"/>
      </w:pPr>
      <w:r>
        <w:rPr>
          <w:rFonts w:ascii="仿宋_GB2312" w:hAnsi="仿宋_GB2312" w:eastAsia="仿宋_GB2312"/>
          <w:b w:val="0"/>
          <w:color w:val="000000"/>
          <w:sz w:val="32"/>
        </w:rPr>
        <w:t>从出资人属性看，利华益利津炼化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避免因"集团光环"高估单体偿债能力，亦应避免忽视集团实际支持能力而低估其信用水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利华益利津炼化的成长与利华益集团"油头化身高化尾"发展模式深度绑定。集团确立"炼化—精细化学—新材料—新能源一体化"路径，石化产业综合产能2576万吨/年、生产装置63套、石化产品103种，建成13万吨/年聚碳酸酯、40万吨/年高性能ABS树脂等30套高端装置，并规划10万吨/年ASA特种工程树脂等项目。</w:t>
      </w:r>
    </w:p>
    <w:p>
      <w:pPr>
        <w:spacing w:lineRule="exact" w:line="600" w:before="0" w:after="0"/>
        <w:ind w:firstLine="420"/>
        <w:jc w:val="both"/>
      </w:pPr>
      <w:r>
        <w:rPr>
          <w:rFonts w:ascii="仿宋_GB2312" w:hAnsi="仿宋_GB2312" w:eastAsia="仿宋_GB2312"/>
          <w:b w:val="0"/>
          <w:color w:val="000000"/>
          <w:sz w:val="32"/>
        </w:rPr>
        <w:t>在业绩端，利华益利津炼化2024年实现营业收入817.02亿元，全年长周期满负荷安全平稳效益运行，是集团超1500亿元销售收入的核心支撑。多个项目列入国家增强制造业核心竞争力专项与山东省重大项目，显示其在国家能源与化工产业布局中的重要地位。</w:t>
      </w:r>
    </w:p>
    <w:p>
      <w:pPr>
        <w:spacing w:lineRule="exact" w:line="600" w:before="0" w:after="0"/>
        <w:ind w:firstLine="420"/>
        <w:jc w:val="both"/>
      </w:pPr>
      <w:r>
        <w:rPr>
          <w:rFonts w:ascii="仿宋_GB2312" w:hAnsi="仿宋_GB2312" w:eastAsia="仿宋_GB2312"/>
          <w:b w:val="0"/>
          <w:color w:val="000000"/>
          <w:sz w:val="32"/>
        </w:rPr>
        <w:t>总体看，利华益利津炼化的发展轨迹与精细化工与化工新材料行业演进和利津县高端树脂新材料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利华益利津炼化处于炼化一体化上游源头环节，向下游PC、ABS、PS、ASA等高端树脂及丁辛醇、MMA、锂电溶剂等9条产业链延伸，是利津县高端树脂新材料集群的原料与能源基石。其原油、丙烷双原料体系与全链条一体化使其在上游具备较强议价与协同能力。</w:t>
      </w:r>
    </w:p>
    <w:p>
      <w:pPr>
        <w:spacing w:lineRule="exact" w:line="600" w:before="0" w:after="0"/>
        <w:ind w:firstLine="420"/>
        <w:jc w:val="both"/>
      </w:pPr>
      <w:r>
        <w:rPr>
          <w:rFonts w:ascii="仿宋_GB2312" w:hAnsi="仿宋_GB2312" w:eastAsia="仿宋_GB2312"/>
          <w:b w:val="0"/>
          <w:color w:val="000000"/>
          <w:sz w:val="32"/>
        </w:rPr>
        <w:t>具体市场份额数据未公开披露，建议通过行业协会与下游配套企业交叉验证其产品链条的实际产能利用率。</w:t>
      </w:r>
    </w:p>
    <w:p>
      <w:pPr>
        <w:spacing w:lineRule="exact" w:line="600" w:before="0" w:after="0"/>
        <w:ind w:firstLine="420"/>
        <w:jc w:val="both"/>
      </w:pPr>
      <w:r>
        <w:rPr>
          <w:rFonts w:ascii="仿宋_GB2312" w:hAnsi="仿宋_GB2312" w:eastAsia="仿宋_GB2312"/>
          <w:b w:val="0"/>
          <w:color w:val="000000"/>
          <w:sz w:val="32"/>
        </w:rPr>
        <w:t>在利津县高端树脂新材料特色产业集群的产业链分工中，利华益利津炼化处于"炼化一体化与基础化工原料"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原油炼制为基础，向下游高端化工与新材料延伸，产品覆盖汽柴油、化工原料及PC、ABS、PS、ASA等高端树脂合成树脂，并布局丁辛醇、MTBE、MMA、PP及锂电溶剂等多条产业链。原油、丙烷双原料体系支撑了从基础炼化到高端树脂的全链条一体化。</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各产品线的销量、单价与毛利率数据未逐项公开，建议在尽调中获取分产品财务序列与装置负荷率。</w:t>
      </w:r>
    </w:p>
    <w:p>
      <w:pPr>
        <w:spacing w:lineRule="exact" w:line="600" w:before="0" w:after="0"/>
        <w:ind w:firstLine="420"/>
        <w:jc w:val="both"/>
      </w:pPr>
      <w:r>
        <w:rPr>
          <w:rFonts w:ascii="仿宋_GB2312" w:hAnsi="仿宋_GB2312" w:eastAsia="仿宋_GB2312"/>
          <w:b w:val="0"/>
          <w:color w:val="000000"/>
          <w:sz w:val="32"/>
        </w:rPr>
        <w:t>从业务结构的稳健性看，评价利华益利津炼化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利津炼化基地，石化综合产能2576万吨/年、装置63套，并建成30套高端装置。炼化行业属于资本、许可最密集行业，产能有效性取决于原油进口配额、炼化产能指标、安全生产许可、环评批复及能耗与碳排放约束。</w:t>
      </w:r>
    </w:p>
    <w:p>
      <w:pPr>
        <w:spacing w:lineRule="exact" w:line="600" w:before="0" w:after="0"/>
        <w:ind w:firstLine="420"/>
        <w:jc w:val="both"/>
      </w:pPr>
      <w:r>
        <w:rPr>
          <w:rFonts w:ascii="仿宋_GB2312" w:hAnsi="仿宋_GB2312" w:eastAsia="仿宋_GB2312"/>
          <w:b w:val="0"/>
          <w:color w:val="000000"/>
          <w:sz w:val="32"/>
        </w:rPr>
        <w:t>资质方面，公司须取得原油非国营贸易进口资格、危险化学品生产许可、排污许可及ISO等体系认证。具体产能、许可与有效期未公开披露，建议逐项核查。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公司下游客户涵盖集团内部树脂与化工装置（自产自用）及外部石化、塑料、汽车、电子等行业的贸易与生产企业，客户信用等级较高但结算链条较长。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公司前五大客户名称、销售金额、账期及应收账款账龄结构未公开披露。建议重点关注集团内关联交易与对外销售的回款质量。</w:t>
      </w:r>
    </w:p>
    <w:p>
      <w:pPr>
        <w:spacing w:lineRule="exact" w:line="600" w:before="0" w:after="0"/>
        <w:ind w:firstLine="420"/>
        <w:jc w:val="both"/>
      </w:pPr>
      <w:r>
        <w:rPr>
          <w:rFonts w:ascii="仿宋_GB2312" w:hAnsi="仿宋_GB2312" w:eastAsia="仿宋_GB2312"/>
          <w:b w:val="0"/>
          <w:color w:val="000000"/>
          <w:sz w:val="32"/>
        </w:rPr>
        <w:t>客户结构是判断利华益利津炼化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公司主要原料为原油与丙烷，依托"原油+丙烷"双原料体系与集团内部一体化配套，外部采购依赖度相对可控。</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主要供应商名单、采购集中度与库存周转未公开披露。建议核查原油进口配额获取稳定性与原料价格波动应对机制。</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据公开数据，利津县化工园区企业达261家（全市），利华益集团为中国企业500强第186位、石化民企100强第6位，是利津高端化工与树脂新材料集群的链主。</w:t>
      </w:r>
    </w:p>
    <w:p>
      <w:pPr>
        <w:spacing w:lineRule="exact" w:line="600" w:before="0" w:after="0"/>
        <w:ind w:firstLine="420"/>
        <w:jc w:val="both"/>
      </w:pPr>
      <w:r>
        <w:rPr>
          <w:rFonts w:ascii="仿宋_GB2312" w:hAnsi="仿宋_GB2312" w:eastAsia="仿宋_GB2312"/>
          <w:b w:val="0"/>
          <w:color w:val="000000"/>
          <w:sz w:val="32"/>
        </w:rPr>
        <w:t>竞争格局方面，炼化行业经历产能扩张后进入结构调整与盈利分化阶段。利华益利津炼化凭借全链条一体化与高端树脂延伸，在行业波动中保持较强竞争力，但需关注炼化景气周期与新能源链条的协同节奏。</w:t>
      </w:r>
    </w:p>
    <w:p>
      <w:pPr>
        <w:spacing w:lineRule="exact" w:line="600" w:before="0" w:after="0"/>
        <w:ind w:firstLine="420"/>
        <w:jc w:val="both"/>
      </w:pPr>
      <w:r>
        <w:rPr>
          <w:rFonts w:ascii="仿宋_GB2312" w:hAnsi="仿宋_GB2312" w:eastAsia="仿宋_GB2312"/>
          <w:b w:val="0"/>
          <w:color w:val="000000"/>
          <w:sz w:val="32"/>
        </w:rPr>
        <w:t>判断利华益利津炼化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利华益集团亦非上市），其单体资产负债表、利润表、现金流量表及审计报告未在公开渠道披露，财务数据未公开披露。可获取的替代指标为：2024年营业收入817.02亿元（集团炼化板块核心）；利华益集团2024年销售收入1590.33亿元、利税145.18亿元，位列中国企业500强第186位、石化民企100强第6位；石化综合产能2576万吨/年、装置63套、高端装置30套。</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依据上述替代指标可作初步判断：一是公司经营规模庞大、为超千亿级民营炼化集团核心，产业地位突出；二是重资产、高负债特征明显，资金密集属性强；三是具体经营规模与盈利需以企业一手财务资料为准。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利华益利津炼化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炼化企业盈利由"炼油价差+化工价差"共同驱动，受原油价格、成品油价差及下游树脂景气多重影响。利华益利津炼化的一体化延伸（高端树脂、锂电溶剂）有助于平滑单纯炼油的周期波动。</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利华益利津炼化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炼化企业资产以固定资产（装置）、在建工程及存货（原油、成品油、化工品）为主，资产规模庞大。建议核查应收账款账龄、存货周转及固定资产成新率，重点关注在油价波动下的存货跌价风险。</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公司负债结构未公开披露。作为重资产炼化企业，其融资以项目贷款、债券与银行授信为主，有息债务规模大。建议核查授信品种、期限结构、短期借款占比及抵质押安排，防范期限错配与再融资风险。</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利华益利津炼化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公司现金流量数据未公开披露。建议获取近三年现金流量表与主要银行账户流水，验证销售回款的真实性与资本开支匹配度。</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利华益利津炼化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同业对标可选取大型民营炼化上市企业作为参照，关注其炼化价差、资产负债率与经营现金流水平。需注意利华益利津炼化为非上市集团核心，与上市炼化企业在信息披露与融资结构上差异较大。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公司作为大型民营集团核心子公司，治理运行纳入母公司体系，重大投资、关联交易须遵循集团治理规范。治理相对规范，但单体并非独立信用主体，决策受集团战略统筹。</w:t>
      </w:r>
    </w:p>
    <w:p>
      <w:pPr>
        <w:spacing w:lineRule="exact" w:line="600" w:before="0" w:after="0"/>
        <w:ind w:firstLine="420"/>
        <w:jc w:val="both"/>
      </w:pPr>
      <w:r>
        <w:rPr>
          <w:rFonts w:ascii="仿宋_GB2312" w:hAnsi="仿宋_GB2312" w:eastAsia="仿宋_GB2312"/>
          <w:b w:val="0"/>
          <w:color w:val="000000"/>
          <w:sz w:val="32"/>
        </w:rPr>
        <w:t>利华益利津炼化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公司管理层构成、任职经历与激励机制未公开披露。作为技术与规模密集型企业，核心管理与技术骨干的稳定性关键。建议核查核心团队任职年限与集团内部考核激励安排。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公司员工总数、学历与专业结构、参保人数未公开披露。作为大型炼化企业，一线操作与工程技术人员占比较高。建议核查人员结构、培训记录与流动率，特别是注册安全工程师等关键岗位配置。</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利津县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公司内控体系运行未公开披露。炼化企业的内控特殊性在于安全环保、装置运行与贸易合规。建议核查其安全生产与质量体系认证及近三年内控评价结论。</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炼化一体化与装置工程化能力上，拥有63套生产装置、原油丙烷双原料体系及从基础炼化到高端树脂的全链条协同，多项目列入国家增强制造业核心竞争力专项，技术壁垒的实质是"可持续的不可替代性"。</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利华益利津炼化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有三重来源：一是规模，2576万吨/年综合产能带来显著单位固定成本摊薄；二是一体化，自产原料与上下游配套大幅降低外购成本与价格波动风险；三是双原料体系的采购灵活性与物流要素成本节约。三者均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B端壁垒表现为下游树脂与化工企业的长期稳定供应关系与一体化绑定，集团内部装置自采自用形成天然粘性，外部客户亦依赖其稳定供给。</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利津高端树脂新材料集群为利华益利津炼化提供了要素共享、知识溢出与市场匹配三类外部经济，特别是利津化工园区261家企业的产业生态、园区基础设施配套，以及上下游就近协同。公司作为链主，集群生态亦反哺其一体化延伸。</w:t>
      </w:r>
    </w:p>
    <w:p>
      <w:pPr>
        <w:spacing w:lineRule="exact" w:line="600" w:before="0" w:after="0"/>
        <w:ind w:firstLine="420"/>
        <w:jc w:val="both"/>
      </w:pPr>
      <w:r>
        <w:rPr>
          <w:rFonts w:ascii="仿宋_GB2312" w:hAnsi="仿宋_GB2312" w:eastAsia="仿宋_GB2312"/>
          <w:b w:val="0"/>
          <w:color w:val="000000"/>
          <w:sz w:val="32"/>
        </w:rPr>
        <w:t>利津县高端树脂新材料特色产业集群为利华益利津炼化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利华益利津炼化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炼化行业具有明显的强周期属性，盈利受原油价格、成品油与化工价差、下游需求景气度多重影响。近年来国内炼化产能持续释放，行业进入结构调整与盈利分化期，周期风险不可回避，只能通过一体化延伸与降本削弱冲击。</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竞争风险的现实表现是炼化产能过剩与化工价差收窄。利华益利津炼化需在一体化成本与高端树脂差异化上构筑非价格竞争优势。建议企业以全链条协同抵御周期波动。</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利华益利津炼化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客户集中度方面，若收入依赖集团内部装置或少数外部大客户，单一变动会造成冲击。建议建立客户信用评级与额度管理。</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供应链风险集中于原油与丙烷等大宗原料，价格波动受国际市场影响。公司"原油+丙烷"双原料体系一定程度上分散了单一原料风险，但仍需关注进口配额与地缘政治扰动。</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炼化生产涉及易燃易爆、有毒有害物料，安全环保风险是"一票否决"性质的风险。合规要点包括安全生产标准化达标、重大危险源监控、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财务风险的核心是重资产扩张带来的期限错配与再融资依赖。建议金融机构重点监测有息负债增长、票据融资占比、关联方资金往来及抵质押资产比例等预警信号。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治理风险方面，作为民营集团核心子公司，存在资金上划、关联往来占用等情形。建议核查集团整体债务水平与对该子公司的实际支持方式。</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利华益利津炼化面临的主要风险集中于炼化行业周期波动、重资产扩张的资金压力及集团内部资金安排不确定性，但其超千亿民营炼化集团链主地位、全链条一体化与高端树脂延伸构成较强风险缓冲。整体风险等级中等，对其授信应重点关注集团整体债务与现金流覆盖。</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从资金用途看，利华益利津炼化的融资需求主要源于巨额资本性支出：炼化与高端树脂装置建设期限长、金额大，适配项目贷款、债券与融资租赁；同时原料采购需要大额周转资金。</w:t>
      </w:r>
    </w:p>
    <w:p>
      <w:pPr>
        <w:spacing w:lineRule="exact" w:line="600" w:before="0" w:after="0"/>
        <w:ind w:firstLine="420"/>
        <w:jc w:val="both"/>
      </w:pPr>
      <w:r>
        <w:rPr>
          <w:rFonts w:ascii="仿宋_GB2312" w:hAnsi="仿宋_GB2312" w:eastAsia="仿宋_GB2312"/>
          <w:b w:val="0"/>
          <w:color w:val="000000"/>
          <w:sz w:val="32"/>
        </w:rPr>
        <w:t>从资金用途看，利华益利津炼化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商业保理方面，利华益利津炼化对下游客户的优质应收账款可作明保标的，但需做好基础资产确权与回款路径封闭管理。鉴于其以集团内一体化为主，保理更应聚焦于对外销售形成的应收账款。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利华益利津炼化，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供应链金融方面，利华益利津炼化作为链主，可依托自身信用开展反向保理帮助上游原料供应商提前回款；亦可依托下游客户的订单与应付确认开展订单融资。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利华益利津炼化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融资租赁方面，利华益利津炼化属于装置与设备投入密集型企业，可通过售后回租盘活通用设备补充中长期资金、通过直接租赁更新检测与环保装置。风控要点在于设备通用性与可处置性。</w:t>
      </w:r>
    </w:p>
    <w:p>
      <w:pPr>
        <w:spacing w:lineRule="exact" w:line="600" w:before="0" w:after="0"/>
        <w:ind w:firstLine="420"/>
        <w:jc w:val="both"/>
      </w:pPr>
      <w:r>
        <w:rPr>
          <w:rFonts w:ascii="仿宋_GB2312" w:hAnsi="仿宋_GB2312" w:eastAsia="仿宋_GB2312"/>
          <w:b w:val="0"/>
          <w:color w:val="000000"/>
          <w:sz w:val="32"/>
        </w:rPr>
        <w:t>利华益利津炼化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小额贷款方面，更适配于利华益利津炼化链上配套小微企业的应急周转与批量普惠授信，成本高于银行信贷，不宜作为长期主渠道。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利华益利津炼化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利华益利津炼化采取"项目融资为主、自偿性贸易融资为辅、普惠工具补充"的组合策略：资本开支匹配项目贷款与融资租赁；营运资金优先通过保理与供应链融资解决。共通风控要点包括交易真实性核验、回款路径封闭管理及集团与区域集中度管控。</w:t>
      </w:r>
    </w:p>
    <w:p>
      <w:pPr>
        <w:spacing w:lineRule="exact" w:line="600" w:before="0" w:after="0"/>
        <w:ind w:firstLine="420"/>
        <w:jc w:val="both"/>
      </w:pPr>
      <w:r>
        <w:rPr>
          <w:rFonts w:ascii="仿宋_GB2312" w:hAnsi="仿宋_GB2312" w:eastAsia="仿宋_GB2312"/>
          <w:b w:val="0"/>
          <w:color w:val="000000"/>
          <w:sz w:val="32"/>
        </w:rPr>
        <w:t>综合上述分析，建议对利华益利津炼化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利华益利津炼化是利华益集团炼化板块核心，2024年营收817.02亿元，是利津县高端树脂新材料集群的链主与上游基石。其原油丙烷双原料、63套装置与全链条一体化构成深厚壁垒，但重资产与行业周期属性使其资金密集特征突出。</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展望未来，在化工新材料高端化与新能源链条延伸背景下，利华益利津炼化依托超千亿民营炼化集团的一体化优势与高端树脂布局，有望持续巩固集群链主地位。建议关注其高端装置达产与新能源链条协同节奏。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建议利华益利津炼化在三个方面持续改进：一是提升单体财务与经营数据的规范性与可核查性；二是优化债务结构与期限匹配，控制重资产扩张的现金流压力；三是强化安全环保与质量合规基础管理。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利华益利津炼化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对金融机构而言，服务利华益利津炼化应确立"看产业链、看集团、看场景"思路，以项目贷款与融资租赁匹配其重资产建设，以供应链金融解决周转，并持续监测集团整体债务与行业景气度。</w:t>
      </w:r>
    </w:p>
    <w:p>
      <w:pPr>
        <w:spacing w:lineRule="exact" w:line="600" w:before="0" w:after="0"/>
        <w:ind w:firstLine="420"/>
        <w:jc w:val="both"/>
      </w:pPr>
      <w:r>
        <w:rPr>
          <w:rFonts w:ascii="仿宋_GB2312" w:hAnsi="仿宋_GB2312" w:eastAsia="仿宋_GB2312"/>
          <w:b w:val="0"/>
          <w:color w:val="000000"/>
          <w:sz w:val="32"/>
        </w:rPr>
        <w:t>总体而言，服务利津县高端树脂新材料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利华益集团公开宣传与媒体报道（2024）。</w:t>
      </w:r>
    </w:p>
    <w:p>
      <w:pPr>
        <w:spacing w:lineRule="exact" w:line="600" w:before="0" w:after="0"/>
        <w:jc w:val="left"/>
      </w:pPr>
      <w:r>
        <w:rPr>
          <w:rFonts w:ascii="仿宋_GB2312" w:hAnsi="仿宋_GB2312" w:eastAsia="仿宋_GB2312"/>
          <w:b w:val="0"/>
          <w:color w:val="000000"/>
          <w:sz w:val="28"/>
        </w:rPr>
        <w:t>利津县公开产业介绍材料（2024）。</w:t>
      </w:r>
    </w:p>
    <w:p>
      <w:pPr>
        <w:spacing w:lineRule="exact" w:line="600" w:before="0" w:after="0"/>
        <w:jc w:val="left"/>
      </w:pPr>
      <w:r>
        <w:rPr>
          <w:rFonts w:ascii="仿宋_GB2312" w:hAnsi="仿宋_GB2312" w:eastAsia="仿宋_GB2312"/>
          <w:b w:val="0"/>
          <w:color w:val="000000"/>
          <w:sz w:val="28"/>
        </w:rPr>
        <w:t>企业公开宣传与行业报道。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