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利津县高端树脂新材料特色产业集群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利华益维远化学股份有限公司企业分析报告</w:t>
      </w:r>
    </w:p>
    <w:p>
      <w:pPr>
        <w:spacing w:lineRule="exact" w:line="600" w:before="0" w:after="0"/>
        <w:jc w:val="left"/>
      </w:pPr>
      <w:r>
        <w:rPr>
          <w:rFonts w:ascii="仿宋_GB2312" w:hAnsi="仿宋_GB2312" w:eastAsia="仿宋_GB2312"/>
          <w:b w:val="0"/>
          <w:color w:val="000000"/>
          <w:sz w:val="28"/>
        </w:rPr>
        <w:t>（本报告依据利华益维远化学股份有限公司公开披露的年报、公告及权威媒体报道信息编制，涉及未公开披露事项均如实标注，用于产业集群代表企业分析参考。）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利华益维远化学股份有限公司</w:t>
            </w:r>
          </w:p>
        </w:tc>
      </w:tr>
      <w:tr>
        <w:tc>
          <w:tcPr>
            <w:tcW w:type="dxa" w:w="2381"/>
          </w:tcPr>
          <w:p>
            <w:pPr>
              <w:spacing w:lineRule="exact" w:line="600"/>
              <w:jc w:val="center"/>
            </w:pPr>
            <w:r/>
            <w:r>
              <w:rPr>
                <w:rFonts w:ascii="仿宋_GB2312" w:hAnsi="仿宋_GB2312" w:eastAsia="仿宋_GB2312"/>
                <w:b w:val="0"/>
                <w:color w:val="000000"/>
                <w:sz w:val="32"/>
              </w:rPr>
              <w:t>证券简称及代码</w:t>
            </w:r>
          </w:p>
        </w:tc>
        <w:tc>
          <w:tcPr>
            <w:tcW w:type="dxa" w:w="6463"/>
          </w:tcPr>
          <w:p>
            <w:pPr>
              <w:spacing w:lineRule="exact" w:line="600"/>
              <w:jc w:val="center"/>
            </w:pPr>
            <w:r/>
            <w:r>
              <w:rPr>
                <w:rFonts w:ascii="仿宋_GB2312" w:hAnsi="仿宋_GB2312" w:eastAsia="仿宋_GB2312"/>
                <w:b w:val="0"/>
                <w:color w:val="000000"/>
                <w:sz w:val="32"/>
              </w:rPr>
              <w:t>维远股份（600955.SH）</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东营市利津县（利华益集团化工新材料基地）</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利津县高端树脂新材料特色产业集群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苯酚丙酮—双酚A—聚碳酸酯全产业链</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双酚A、聚碳酸酯（PC）、异丙醇及电解液溶剂</w:t>
            </w:r>
          </w:p>
        </w:tc>
      </w:tr>
      <w:tr>
        <w:tc>
          <w:tcPr>
            <w:tcW w:type="dxa" w:w="2381"/>
          </w:tcPr>
          <w:p>
            <w:pPr>
              <w:spacing w:lineRule="exact" w:line="600"/>
              <w:jc w:val="center"/>
            </w:pPr>
            <w:r/>
            <w:r>
              <w:rPr>
                <w:rFonts w:ascii="仿宋_GB2312" w:hAnsi="仿宋_GB2312" w:eastAsia="仿宋_GB2312"/>
                <w:b w:val="0"/>
                <w:color w:val="000000"/>
                <w:sz w:val="32"/>
              </w:rPr>
              <w:t>控股股东</w:t>
            </w:r>
          </w:p>
        </w:tc>
        <w:tc>
          <w:tcPr>
            <w:tcW w:type="dxa" w:w="6463"/>
          </w:tcPr>
          <w:p>
            <w:pPr>
              <w:spacing w:lineRule="exact" w:line="600"/>
              <w:jc w:val="center"/>
            </w:pPr>
            <w:r/>
            <w:r>
              <w:rPr>
                <w:rFonts w:ascii="仿宋_GB2312" w:hAnsi="仿宋_GB2312" w:eastAsia="仿宋_GB2312"/>
                <w:b w:val="0"/>
                <w:color w:val="000000"/>
                <w:sz w:val="32"/>
              </w:rPr>
              <w:t>利华益集团股份有限公司</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2010年</w:t>
            </w:r>
          </w:p>
        </w:tc>
      </w:tr>
      <w:tr>
        <w:tc>
          <w:tcPr>
            <w:tcW w:type="dxa" w:w="2381"/>
          </w:tcPr>
          <w:p>
            <w:pPr>
              <w:spacing w:lineRule="exact" w:line="600"/>
              <w:jc w:val="center"/>
            </w:pPr>
            <w:r/>
            <w:r>
              <w:rPr>
                <w:rFonts w:ascii="仿宋_GB2312" w:hAnsi="仿宋_GB2312" w:eastAsia="仿宋_GB2312"/>
                <w:b w:val="0"/>
                <w:color w:val="000000"/>
                <w:sz w:val="32"/>
              </w:rPr>
              <w:t>上市时间</w:t>
            </w:r>
          </w:p>
        </w:tc>
        <w:tc>
          <w:tcPr>
            <w:tcW w:type="dxa" w:w="6463"/>
          </w:tcPr>
          <w:p>
            <w:pPr>
              <w:spacing w:lineRule="exact" w:line="600"/>
              <w:jc w:val="center"/>
            </w:pPr>
            <w:r/>
            <w:r>
              <w:rPr>
                <w:rFonts w:ascii="仿宋_GB2312" w:hAnsi="仿宋_GB2312" w:eastAsia="仿宋_GB2312"/>
                <w:b w:val="0"/>
                <w:color w:val="000000"/>
                <w:sz w:val="32"/>
              </w:rPr>
              <w:t>2021年9月15日（上交所主板）</w:t>
            </w:r>
          </w:p>
        </w:tc>
      </w:tr>
    </w:tbl>
    <w:p>
      <w:pPr>
        <w:spacing w:lineRule="exact" w:line="600" w:before="0" w:after="0"/>
        <w:ind w:firstLine="420"/>
        <w:jc w:val="both"/>
      </w:pPr>
      <w:r>
        <w:rPr>
          <w:rFonts w:ascii="仿宋_GB2312" w:hAnsi="仿宋_GB2312" w:eastAsia="仿宋_GB2312"/>
          <w:b w:val="0"/>
          <w:color w:val="000000"/>
          <w:sz w:val="32"/>
        </w:rPr>
        <w:t>利华益维远化学股份有限公司（证券简称：维远股份，代码：600955.SH）成立于2010年，是利华益集团控股的化工新材料上市平台，于2021年9月15日在上交所挂牌，为山东省有史以来最大化工企业IPO。公司专注化工新材料与新能源业务，已建成投产35万吨/年苯酚丙酮、24万吨/年双酚A、13万吨/年非光气法聚碳酸酯、10万吨/年异丙醇产能，是国内首家拥有"苯酚、丙酮—双酚A—聚碳酸酯"全产品全产业链的企业。</w:t>
      </w:r>
    </w:p>
    <w:p>
      <w:pPr>
        <w:spacing w:lineRule="exact" w:line="600" w:before="0" w:after="0"/>
        <w:ind w:firstLine="420"/>
        <w:jc w:val="both"/>
      </w:pPr>
      <w:r>
        <w:rPr>
          <w:rFonts w:ascii="仿宋_GB2312" w:hAnsi="仿宋_GB2312" w:eastAsia="仿宋_GB2312"/>
          <w:b w:val="0"/>
          <w:color w:val="000000"/>
          <w:sz w:val="32"/>
        </w:rPr>
        <w:t>在工商登记信息方面，公司成立时间2010年、上市时间2021年等已公开，法定代表人、统一社会信用代码等以国家企业信用信息公示系统及公开披露信息为准。作为上市公司，其登记与披露信息相对完备，实际开展业务应以营业执照、公司章程、股东名册及近三年定期报告为核验依据。</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披露，维远股份为利华益集团控股的上市平台，利华益集团是以石油化工为主导的大型民营股份制企业，因此维远股份实质为民营控股的上市公司。公司重大投资、对外担保、关联交易等事项须遵循上市公司治理规范与国资监管无关、但受证监会与交易所监管，治理与内控相对规范、信息可得性较好。</w:t>
      </w:r>
    </w:p>
    <w:p>
      <w:pPr>
        <w:spacing w:lineRule="exact" w:line="600" w:before="0" w:after="0"/>
        <w:ind w:firstLine="420"/>
        <w:jc w:val="both"/>
      </w:pPr>
      <w:r>
        <w:rPr>
          <w:rFonts w:ascii="仿宋_GB2312" w:hAnsi="仿宋_GB2312" w:eastAsia="仿宋_GB2312"/>
          <w:b w:val="0"/>
          <w:color w:val="000000"/>
          <w:sz w:val="32"/>
        </w:rPr>
        <w:t>从出资人属性看，公司属于民营控股上市企业序列，民营资本的出资人代表依法行使股东权利，企业市场化程度高、决策链条相对灵活。民营控股属性一方面使企业在激励机制与反应速度上具备优势；另一方面也决定了实控人个人风险与企业风险存在一定绑定，建议在尽调中核查实控人股权质押与对外担保情况。</w:t>
      </w:r>
    </w:p>
    <w:p>
      <w:pPr>
        <w:spacing w:lineRule="exact" w:line="600" w:before="0" w:after="0"/>
        <w:ind w:firstLine="420"/>
        <w:jc w:val="both"/>
      </w:pPr>
      <w:r>
        <w:rPr>
          <w:rFonts w:ascii="仿宋_GB2312" w:hAnsi="仿宋_GB2312" w:eastAsia="仿宋_GB2312"/>
          <w:b w:val="0"/>
          <w:color w:val="000000"/>
          <w:sz w:val="32"/>
        </w:rPr>
        <w:t>从出资人属性看，维远化学为民营企业，股权相对集中、决策链条较短、市场反应灵敏是其突出优点，同时也带来实际控制人个人风险与企业风险高度绑定的问题。建议在尽职调查中重点核查实际控制人及其一致行动人的股权质押情况、对外担保与个人负债情况、关联企业占用资金情况，并核实是否存在股权代持、抽屉协议、一致行动安排等未披露事项。对家族式治理特征明显的企业，还应关注核心管理团队的稳定性与接续安排。</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维远股份的发展与利华益集团炼化向化工新材料延伸的战略深度绑定。公司2021年9月15日上交所挂牌，为山东省最大化工企业IPO，建成35万吨/年苯酚丙酮、24万吨/年双酚A、13万吨/年聚碳酸酯、10万吨/年异丙醇，成为国内首家拥有苯酚、丙酮—双酚A—聚碳酸酯全产品全产业链的企业。</w:t>
      </w:r>
    </w:p>
    <w:p>
      <w:pPr>
        <w:spacing w:lineRule="exact" w:line="600" w:before="0" w:after="0"/>
        <w:ind w:firstLine="420"/>
        <w:jc w:val="both"/>
      </w:pPr>
      <w:r>
        <w:rPr>
          <w:rFonts w:ascii="仿宋_GB2312" w:hAnsi="仿宋_GB2312" w:eastAsia="仿宋_GB2312"/>
          <w:b w:val="0"/>
          <w:color w:val="000000"/>
          <w:sz w:val="32"/>
        </w:rPr>
        <w:t>在业绩端，公司2023年营收70.50亿元、归母9862万元；2024年营收95.22亿元、归母5659万元；2025年营收87.68亿元、归母-9.92亿元，受行业景气下行与装置检修等影响盈利承压。公司依托一体化产业链推进"丙烷—丙烯—环氧丙烷—电解液溶剂"新能源链条延伸，已投产60万吨/年丙烷脱氢、30万吨/年环氧丙烷、25万吨/年锂电池电解液溶剂项目（2025年），双酚A产能约占国内4%、为重要现货生产供应商。</w:t>
      </w:r>
    </w:p>
    <w:p>
      <w:pPr>
        <w:spacing w:lineRule="exact" w:line="600" w:before="0" w:after="0"/>
        <w:ind w:firstLine="420"/>
        <w:jc w:val="both"/>
      </w:pPr>
      <w:r>
        <w:rPr>
          <w:rFonts w:ascii="仿宋_GB2312" w:hAnsi="仿宋_GB2312" w:eastAsia="仿宋_GB2312"/>
          <w:b w:val="0"/>
          <w:color w:val="000000"/>
          <w:sz w:val="32"/>
        </w:rPr>
        <w:t>总体看，维远化学的发展轨迹与精细化工与化工新材料行业演进和利津县高端树脂新材料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苯酚丙酮—双酚A—聚碳酸酯"全产业链环节，是国内首家全产品一体化企业，双酚A产能约占国内4%、为重要现货供应商，聚碳酸酯装置采用非光气法工艺、两条生产线合计13万吨/年、另有7万吨扩产计划。</w:t>
      </w:r>
    </w:p>
    <w:p>
      <w:pPr>
        <w:spacing w:lineRule="exact" w:line="600" w:before="0" w:after="0"/>
        <w:ind w:firstLine="420"/>
        <w:jc w:val="both"/>
      </w:pPr>
      <w:r>
        <w:rPr>
          <w:rFonts w:ascii="仿宋_GB2312" w:hAnsi="仿宋_GB2312" w:eastAsia="仿宋_GB2312"/>
          <w:b w:val="0"/>
          <w:color w:val="000000"/>
          <w:sz w:val="32"/>
        </w:rPr>
        <w:t>上述产能与份额数据来自企业与行业公开报道，建议通过下游客户采购情况与行业协会统计交叉验证。</w:t>
      </w:r>
    </w:p>
    <w:p>
      <w:pPr>
        <w:spacing w:lineRule="exact" w:line="600" w:before="0" w:after="0"/>
        <w:ind w:firstLine="420"/>
        <w:jc w:val="both"/>
      </w:pPr>
      <w:r>
        <w:rPr>
          <w:rFonts w:ascii="仿宋_GB2312" w:hAnsi="仿宋_GB2312" w:eastAsia="仿宋_GB2312"/>
          <w:b w:val="0"/>
          <w:color w:val="000000"/>
          <w:sz w:val="32"/>
        </w:rPr>
        <w:t>在利津县高端树脂新材料特色产业集群的产业链分工中，维远化学处于"双酚A与聚碳酸酯树脂制造"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双酚A、聚碳酸酯（PC）、异丙醇及电解液溶剂为核心，是国内首家拥有"苯酚、丙酮—双酚A—聚碳酸酯"全产品全产业链的企业。现有35万吨/年苯酚丙酮、24万吨/年双酚A、13万吨/年非光气法聚碳酸酯、10万吨/年异丙醇产能，并通过自有改性装置差异化供应市场，已工业化生产十余个通用、阻燃、高黑亮PC/ABS合金新产品，性能指标达国际领先水平。</w:t>
      </w:r>
    </w:p>
    <w:p>
      <w:pPr>
        <w:spacing w:lineRule="exact" w:line="600" w:before="0" w:after="0"/>
        <w:ind w:firstLine="420"/>
        <w:jc w:val="both"/>
      </w:pPr>
      <w:r>
        <w:rPr>
          <w:rFonts w:ascii="仿宋_GB2312" w:hAnsi="仿宋_GB2312" w:eastAsia="仿宋_GB2312"/>
          <w:b w:val="0"/>
          <w:color w:val="000000"/>
          <w:sz w:val="32"/>
        </w:rPr>
        <w:t>各产品线的销量、单价与毛利率数据未逐项公开，建议在尽调中重点获取分产品财务序列与产能利用率。</w:t>
      </w:r>
    </w:p>
    <w:p>
      <w:pPr>
        <w:spacing w:lineRule="exact" w:line="600" w:before="0" w:after="0"/>
        <w:ind w:firstLine="420"/>
        <w:jc w:val="both"/>
      </w:pPr>
      <w:r>
        <w:rPr>
          <w:rFonts w:ascii="仿宋_GB2312" w:hAnsi="仿宋_GB2312" w:eastAsia="仿宋_GB2312"/>
          <w:b w:val="0"/>
          <w:color w:val="000000"/>
          <w:sz w:val="32"/>
        </w:rPr>
        <w:t>从业务结构的稳健性看，评价维远化学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产能布局集中于利津化工新材料基地，并延伸丙烷脱氢、环氧丙烷与锂电池电解液溶剂（25万吨/年，2025年投产）。化工与新材料行业属于资本密集、许可密集行业，产能有效性取决于安全生产许可、环评批复、能耗与碳排放指标及园区准入等约束。</w:t>
      </w:r>
    </w:p>
    <w:p>
      <w:pPr>
        <w:spacing w:lineRule="exact" w:line="600" w:before="0" w:after="0"/>
        <w:ind w:firstLine="420"/>
        <w:jc w:val="both"/>
      </w:pPr>
      <w:r>
        <w:rPr>
          <w:rFonts w:ascii="仿宋_GB2312" w:hAnsi="仿宋_GB2312" w:eastAsia="仿宋_GB2312"/>
          <w:b w:val="0"/>
          <w:color w:val="000000"/>
          <w:sz w:val="32"/>
        </w:rPr>
        <w:t>资质方面，公司须取得危险化学品生产许可、排污许可、ISO等体系认证及下游企业合格供应商资格。具体产能、许可与有效期未公开披露，建议逐项核查。</w:t>
      </w:r>
    </w:p>
    <w:p>
      <w:pPr>
        <w:spacing w:lineRule="exact" w:line="600" w:before="0" w:after="0"/>
        <w:ind w:firstLine="420"/>
        <w:jc w:val="both"/>
      </w:pPr>
      <w:r>
        <w:rPr>
          <w:rFonts w:ascii="仿宋_GB2312" w:hAnsi="仿宋_GB2312" w:eastAsia="仿宋_GB2312"/>
          <w:b w:val="0"/>
          <w:color w:val="000000"/>
          <w:sz w:val="32"/>
        </w:rPr>
        <w:t>化工与新能源材料行业属于典型的资本密集、许可密集行业。产能的有效性不仅取决于设计规模，更取决于四项约束：一是安全生产许可与危险化学品经营（生产）许可的品种范围与有效期；二是环评批复、排污许可中对产量、排放总量、特征污染物的限定；三是能耗与碳排放指标，在能耗双控和碳排放双控转换背景下，新增产能须取得用能权、能耗置换等前置条件；四是园区准入与安全距离、"三线一单"等空间管制要求。以上任一条件不满足，名义产能都可能无法转化为有效产量。建议将各类证照清单、有效期、许可产能与实际产量的匹配情况纳入尽调必查项。</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公司客户为家电、汽车、办公设备、电子电气以及轨道交通、精密仪器、航空航天、新能源等高新技术领域的材料使用方，客户信用等级较高但账期较长。</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公司前五大客户名称、销售金额、账期及应收账款账龄结构未公开披露。建议重点关注客户集中度与回款质量。</w:t>
      </w:r>
    </w:p>
    <w:p>
      <w:pPr>
        <w:spacing w:lineRule="exact" w:line="600" w:before="0" w:after="0"/>
        <w:ind w:firstLine="420"/>
        <w:jc w:val="both"/>
      </w:pPr>
      <w:r>
        <w:rPr>
          <w:rFonts w:ascii="仿宋_GB2312" w:hAnsi="仿宋_GB2312" w:eastAsia="仿宋_GB2312"/>
          <w:b w:val="0"/>
          <w:color w:val="000000"/>
          <w:sz w:val="32"/>
        </w:rPr>
        <w:t>客户结构是判断维远化学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公司主要原料为苯酚、丙酮等，来自上游自有装置与自产氢气，全产业链一体化使双酚A、聚碳酸酯在成本上具备显著优势，降低了外部采购依赖与价格波动风险。</w:t>
      </w:r>
    </w:p>
    <w:p>
      <w:pPr>
        <w:spacing w:lineRule="exact" w:line="600" w:before="0" w:after="0"/>
        <w:ind w:firstLine="420"/>
        <w:jc w:val="both"/>
      </w:pPr>
      <w:r>
        <w:rPr>
          <w:rFonts w:ascii="仿宋_GB2312" w:hAnsi="仿宋_GB2312" w:eastAsia="仿宋_GB2312"/>
          <w:b w:val="0"/>
          <w:color w:val="000000"/>
          <w:sz w:val="32"/>
        </w:rPr>
        <w:t>主要供应商名单、采购集中度与库存周转未公开披露。建议核查原料价格波动应对机制与一体化协同的成本效果。</w:t>
      </w:r>
    </w:p>
    <w:p>
      <w:pPr>
        <w:spacing w:lineRule="exact" w:line="600" w:before="0" w:after="0"/>
        <w:ind w:firstLine="420"/>
        <w:jc w:val="both"/>
      </w:pPr>
      <w:r>
        <w:rPr>
          <w:rFonts w:ascii="仿宋_GB2312" w:hAnsi="仿宋_GB2312" w:eastAsia="仿宋_GB2312"/>
          <w:b w:val="0"/>
          <w:color w:val="000000"/>
          <w:sz w:val="32"/>
        </w:rPr>
        <w:t>原料成本在化工及电池材料企业营业成本中通常占据主导地位，原料价格波动对毛利率的影响远超其他因素。企业应对手段主要有四：一是纵向一体化，通过自建上游装置提升自供率，锁定成本；二是长协与套期保值，与上游签订年度框架协议并在期货市场对冲；三是配方与工艺优化，降低单耗或实现原料替代；四是价格联动条款，在销售合同中约定随原料价格调整售价，将波动向下游传导。建议核查企业前五大供应商集中度、长协覆盖比例、原料库存周转天数以及是否存在单一来源、进口依赖等断供风险点。</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据公开数据，维远股份2024年销售收入95.22亿元、双酚A产能约占国内4%，聚碳酸酯产能利用率达114.89%。利津县化工园区企业达261家，维远是利津高端树脂新材料集群的骨干上市企业。</w:t>
      </w:r>
    </w:p>
    <w:p>
      <w:pPr>
        <w:spacing w:lineRule="exact" w:line="600" w:before="0" w:after="0"/>
        <w:ind w:firstLine="420"/>
        <w:jc w:val="both"/>
      </w:pPr>
      <w:r>
        <w:rPr>
          <w:rFonts w:ascii="仿宋_GB2312" w:hAnsi="仿宋_GB2312" w:eastAsia="仿宋_GB2312"/>
          <w:b w:val="0"/>
          <w:color w:val="000000"/>
          <w:sz w:val="32"/>
        </w:rPr>
        <w:t>竞争格局方面，聚碳酸酯行业经历产能扩张后进入价格下行与盈利分化阶段。维远股份凭借全产业链一体化与非光气法工艺具备成本与差异化优势，但盈利仍受行业周期影响。</w:t>
      </w:r>
    </w:p>
    <w:p>
      <w:pPr>
        <w:spacing w:lineRule="exact" w:line="600" w:before="0" w:after="0"/>
        <w:ind w:firstLine="420"/>
        <w:jc w:val="both"/>
      </w:pPr>
      <w:r>
        <w:rPr>
          <w:rFonts w:ascii="仿宋_GB2312" w:hAnsi="仿宋_GB2312" w:eastAsia="仿宋_GB2312"/>
          <w:b w:val="0"/>
          <w:color w:val="000000"/>
          <w:sz w:val="32"/>
        </w:rPr>
        <w:t>判断维远化学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以下为维远股份近三年主要会计数据，来源于公司公开披露的2023年、2024年年度报告及2025年第三季度报告，金额单位为人民币元，供分析参考。</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551"/>
          </w:tcPr>
          <w:p>
            <w:pPr>
              <w:spacing w:lineRule="exact" w:line="600"/>
              <w:jc w:val="center"/>
            </w:pPr>
            <w:r/>
            <w:r>
              <w:rPr>
                <w:rFonts w:ascii="黑体" w:hAnsi="黑体" w:eastAsia="黑体"/>
                <w:b/>
                <w:color w:val="000000"/>
                <w:sz w:val="32"/>
              </w:rPr>
              <w:t>指标</w:t>
            </w:r>
          </w:p>
        </w:tc>
        <w:tc>
          <w:tcPr>
            <w:tcW w:type="dxa" w:w="2098"/>
          </w:tcPr>
          <w:p>
            <w:pPr>
              <w:spacing w:lineRule="exact" w:line="600"/>
              <w:jc w:val="center"/>
            </w:pPr>
            <w:r/>
            <w:r>
              <w:rPr>
                <w:rFonts w:ascii="黑体" w:hAnsi="黑体" w:eastAsia="黑体"/>
                <w:b/>
                <w:color w:val="000000"/>
                <w:sz w:val="32"/>
              </w:rPr>
              <w:t>2023年</w:t>
            </w:r>
          </w:p>
        </w:tc>
        <w:tc>
          <w:tcPr>
            <w:tcW w:type="dxa" w:w="2098"/>
          </w:tcPr>
          <w:p>
            <w:pPr>
              <w:spacing w:lineRule="exact" w:line="600"/>
              <w:jc w:val="center"/>
            </w:pPr>
            <w:r/>
            <w:r>
              <w:rPr>
                <w:rFonts w:ascii="黑体" w:hAnsi="黑体" w:eastAsia="黑体"/>
                <w:b/>
                <w:color w:val="000000"/>
                <w:sz w:val="32"/>
              </w:rPr>
              <w:t>2024年</w:t>
            </w:r>
          </w:p>
        </w:tc>
        <w:tc>
          <w:tcPr>
            <w:tcW w:type="dxa" w:w="2098"/>
          </w:tcPr>
          <w:p>
            <w:pPr>
              <w:spacing w:lineRule="exact" w:line="600"/>
              <w:jc w:val="center"/>
            </w:pPr>
            <w:r/>
            <w:r>
              <w:rPr>
                <w:rFonts w:ascii="黑体" w:hAnsi="黑体" w:eastAsia="黑体"/>
                <w:b/>
                <w:color w:val="000000"/>
                <w:sz w:val="32"/>
              </w:rPr>
              <w:t>2025年</w:t>
            </w:r>
          </w:p>
        </w:tc>
      </w:tr>
      <w:tr>
        <w:tc>
          <w:tcPr>
            <w:tcW w:type="dxa" w:w="2551"/>
          </w:tcPr>
          <w:p>
            <w:pPr>
              <w:spacing w:lineRule="exact" w:line="600"/>
              <w:jc w:val="center"/>
            </w:pPr>
            <w:r/>
            <w:r>
              <w:rPr>
                <w:rFonts w:ascii="仿宋_GB2312" w:hAnsi="仿宋_GB2312" w:eastAsia="仿宋_GB2312"/>
                <w:b w:val="0"/>
                <w:color w:val="000000"/>
                <w:sz w:val="32"/>
              </w:rPr>
              <w:t>营业收入（亿元）</w:t>
            </w:r>
          </w:p>
        </w:tc>
        <w:tc>
          <w:tcPr>
            <w:tcW w:type="dxa" w:w="2098"/>
          </w:tcPr>
          <w:p>
            <w:pPr>
              <w:spacing w:lineRule="exact" w:line="600"/>
              <w:jc w:val="center"/>
            </w:pPr>
            <w:r/>
            <w:r>
              <w:rPr>
                <w:rFonts w:ascii="仿宋_GB2312" w:hAnsi="仿宋_GB2312" w:eastAsia="仿宋_GB2312"/>
                <w:b w:val="0"/>
                <w:color w:val="000000"/>
                <w:sz w:val="32"/>
              </w:rPr>
              <w:t>70.50</w:t>
            </w:r>
          </w:p>
        </w:tc>
        <w:tc>
          <w:tcPr>
            <w:tcW w:type="dxa" w:w="2098"/>
          </w:tcPr>
          <w:p>
            <w:pPr>
              <w:spacing w:lineRule="exact" w:line="600"/>
              <w:jc w:val="center"/>
            </w:pPr>
            <w:r/>
            <w:r>
              <w:rPr>
                <w:rFonts w:ascii="仿宋_GB2312" w:hAnsi="仿宋_GB2312" w:eastAsia="仿宋_GB2312"/>
                <w:b w:val="0"/>
                <w:color w:val="000000"/>
                <w:sz w:val="32"/>
              </w:rPr>
              <w:t>95.22</w:t>
            </w:r>
          </w:p>
        </w:tc>
        <w:tc>
          <w:tcPr>
            <w:tcW w:type="dxa" w:w="2098"/>
          </w:tcPr>
          <w:p>
            <w:pPr>
              <w:spacing w:lineRule="exact" w:line="600"/>
              <w:jc w:val="center"/>
            </w:pPr>
            <w:r/>
            <w:r>
              <w:rPr>
                <w:rFonts w:ascii="仿宋_GB2312" w:hAnsi="仿宋_GB2312" w:eastAsia="仿宋_GB2312"/>
                <w:b w:val="0"/>
                <w:color w:val="000000"/>
                <w:sz w:val="32"/>
              </w:rPr>
              <w:t>87.68</w:t>
            </w:r>
          </w:p>
        </w:tc>
      </w:tr>
      <w:tr>
        <w:tc>
          <w:tcPr>
            <w:tcW w:type="dxa" w:w="2551"/>
          </w:tcPr>
          <w:p>
            <w:pPr>
              <w:spacing w:lineRule="exact" w:line="600"/>
              <w:jc w:val="center"/>
            </w:pPr>
            <w:r/>
            <w:r>
              <w:rPr>
                <w:rFonts w:ascii="仿宋_GB2312" w:hAnsi="仿宋_GB2312" w:eastAsia="仿宋_GB2312"/>
                <w:b w:val="0"/>
                <w:color w:val="000000"/>
                <w:sz w:val="32"/>
              </w:rPr>
              <w:t>归母净利润（亿元）</w:t>
            </w:r>
          </w:p>
        </w:tc>
        <w:tc>
          <w:tcPr>
            <w:tcW w:type="dxa" w:w="2098"/>
          </w:tcPr>
          <w:p>
            <w:pPr>
              <w:spacing w:lineRule="exact" w:line="600"/>
              <w:jc w:val="center"/>
            </w:pPr>
            <w:r/>
            <w:r>
              <w:rPr>
                <w:rFonts w:ascii="仿宋_GB2312" w:hAnsi="仿宋_GB2312" w:eastAsia="仿宋_GB2312"/>
                <w:b w:val="0"/>
                <w:color w:val="000000"/>
                <w:sz w:val="32"/>
              </w:rPr>
              <w:t>0.99</w:t>
            </w:r>
          </w:p>
        </w:tc>
        <w:tc>
          <w:tcPr>
            <w:tcW w:type="dxa" w:w="2098"/>
          </w:tcPr>
          <w:p>
            <w:pPr>
              <w:spacing w:lineRule="exact" w:line="600"/>
              <w:jc w:val="center"/>
            </w:pPr>
            <w:r/>
            <w:r>
              <w:rPr>
                <w:rFonts w:ascii="仿宋_GB2312" w:hAnsi="仿宋_GB2312" w:eastAsia="仿宋_GB2312"/>
                <w:b w:val="0"/>
                <w:color w:val="000000"/>
                <w:sz w:val="32"/>
              </w:rPr>
              <w:t>0.57</w:t>
            </w:r>
          </w:p>
        </w:tc>
        <w:tc>
          <w:tcPr>
            <w:tcW w:type="dxa" w:w="2098"/>
          </w:tcPr>
          <w:p>
            <w:pPr>
              <w:spacing w:lineRule="exact" w:line="600"/>
              <w:jc w:val="center"/>
            </w:pPr>
            <w:r/>
            <w:r>
              <w:rPr>
                <w:rFonts w:ascii="仿宋_GB2312" w:hAnsi="仿宋_GB2312" w:eastAsia="仿宋_GB2312"/>
                <w:b w:val="0"/>
                <w:color w:val="000000"/>
                <w:sz w:val="32"/>
              </w:rPr>
              <w:t>-9.92</w:t>
            </w:r>
          </w:p>
        </w:tc>
      </w:tr>
      <w:tr>
        <w:tc>
          <w:tcPr>
            <w:tcW w:type="dxa" w:w="2551"/>
          </w:tcPr>
          <w:p>
            <w:pPr>
              <w:spacing w:lineRule="exact" w:line="600"/>
              <w:jc w:val="center"/>
            </w:pPr>
            <w:r/>
            <w:r>
              <w:rPr>
                <w:rFonts w:ascii="仿宋_GB2312" w:hAnsi="仿宋_GB2312" w:eastAsia="仿宋_GB2312"/>
                <w:b w:val="0"/>
                <w:color w:val="000000"/>
                <w:sz w:val="32"/>
              </w:rPr>
              <w:t>总资产（亿元）</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118.56</w:t>
            </w:r>
          </w:p>
        </w:tc>
      </w:tr>
      <w:tr>
        <w:tc>
          <w:tcPr>
            <w:tcW w:type="dxa" w:w="2551"/>
          </w:tcPr>
          <w:p>
            <w:pPr>
              <w:spacing w:lineRule="exact" w:line="600"/>
              <w:jc w:val="center"/>
            </w:pPr>
            <w:r/>
            <w:r>
              <w:rPr>
                <w:rFonts w:ascii="仿宋_GB2312" w:hAnsi="仿宋_GB2312" w:eastAsia="仿宋_GB2312"/>
                <w:b w:val="0"/>
                <w:color w:val="000000"/>
                <w:sz w:val="32"/>
              </w:rPr>
              <w:t>净资产（亿元）</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75.96</w:t>
            </w:r>
          </w:p>
        </w:tc>
      </w:tr>
      <w:tr>
        <w:tc>
          <w:tcPr>
            <w:tcW w:type="dxa" w:w="2551"/>
          </w:tcPr>
          <w:p>
            <w:pPr>
              <w:spacing w:lineRule="exact" w:line="600"/>
              <w:jc w:val="center"/>
            </w:pPr>
            <w:r/>
            <w:r>
              <w:rPr>
                <w:rFonts w:ascii="仿宋_GB2312" w:hAnsi="仿宋_GB2312" w:eastAsia="仿宋_GB2312"/>
                <w:b w:val="0"/>
                <w:color w:val="000000"/>
                <w:sz w:val="32"/>
              </w:rPr>
              <w:t>资产负债率（%）</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35.93</w:t>
            </w:r>
          </w:p>
        </w:tc>
      </w:tr>
      <w:tr>
        <w:tc>
          <w:tcPr>
            <w:tcW w:type="dxa" w:w="2551"/>
          </w:tcPr>
          <w:p>
            <w:pPr>
              <w:spacing w:lineRule="exact" w:line="600"/>
              <w:jc w:val="center"/>
            </w:pPr>
            <w:r/>
            <w:r>
              <w:rPr>
                <w:rFonts w:ascii="仿宋_GB2312" w:hAnsi="仿宋_GB2312" w:eastAsia="仿宋_GB2312"/>
                <w:b w:val="0"/>
                <w:color w:val="000000"/>
                <w:sz w:val="32"/>
              </w:rPr>
              <w:t>经营现金流净额（亿元）</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未披露</w:t>
            </w:r>
          </w:p>
        </w:tc>
        <w:tc>
          <w:tcPr>
            <w:tcW w:type="dxa" w:w="2098"/>
          </w:tcPr>
          <w:p>
            <w:pPr>
              <w:spacing w:lineRule="exact" w:line="600"/>
              <w:jc w:val="center"/>
            </w:pPr>
            <w:r/>
            <w:r>
              <w:rPr>
                <w:rFonts w:ascii="仿宋_GB2312" w:hAnsi="仿宋_GB2312" w:eastAsia="仿宋_GB2312"/>
                <w:b w:val="0"/>
                <w:color w:val="000000"/>
                <w:sz w:val="32"/>
              </w:rPr>
              <w:t>5.79</w:t>
            </w:r>
          </w:p>
        </w:tc>
      </w:tr>
    </w:tbl>
    <w:p>
      <w:pPr>
        <w:spacing w:lineRule="exact" w:line="600" w:before="0" w:after="0"/>
        <w:ind w:firstLine="420"/>
        <w:jc w:val="both"/>
      </w:pPr>
      <w:r>
        <w:rPr>
          <w:rFonts w:ascii="仿宋_GB2312" w:hAnsi="仿宋_GB2312" w:eastAsia="仿宋_GB2312"/>
          <w:b w:val="0"/>
          <w:color w:val="000000"/>
          <w:sz w:val="32"/>
        </w:rPr>
        <w:t>从近三年数据看，公司营业收入由2023年的70.50亿元、2024年95.22亿元到2025年的87.68亿元，整体维持规模；但归母净利润由0.99亿元降至0.57亿元、2025年转亏至-9.92亿元，盈利承压显著；2025年总资产118.56亿元、净资产75.96亿元、资产负债率35.93%、经营现金流净额5.79亿元，资产结构相对稳健但盈利大幅下滑。</w:t>
      </w:r>
    </w:p>
    <w:p>
      <w:pPr>
        <w:spacing w:lineRule="exact" w:line="600" w:before="0" w:after="0"/>
        <w:ind w:firstLine="420"/>
        <w:jc w:val="both"/>
      </w:pPr>
      <w:r>
        <w:rPr>
          <w:rFonts w:ascii="仿宋_GB2312" w:hAnsi="仿宋_GB2312" w:eastAsia="仿宋_GB2312"/>
          <w:b w:val="0"/>
          <w:color w:val="000000"/>
          <w:sz w:val="32"/>
        </w:rPr>
        <w:t>数据反映出化工新材料行业价格下行对维远股份盈利的冲击：营收保持规模但利润转亏，与行业景气低位及装置检修、减值等因素相关。公司全产业链一体化与低资产负债率使其在低谷期具备相对韧性，但短期盈利修复仍需行业景气回升。</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2025年归母转亏-9.92亿元，化工新材料企业的盈利能力本质上由"价差"驱动。在行业景气下行期，产品价格下跌而原料价格具有刚性，毛利率快速收窄。维远股份凭借"苯酚—双酚A—聚碳酸酯"全产业链一体化，使其处于行业成本分位左侧，在低谷期具备相对优势。</w:t>
      </w:r>
    </w:p>
    <w:p>
      <w:pPr>
        <w:spacing w:lineRule="exact" w:line="600" w:before="0" w:after="0"/>
        <w:ind w:firstLine="420"/>
        <w:jc w:val="both"/>
      </w:pPr>
      <w:r>
        <w:rPr>
          <w:rFonts w:ascii="仿宋_GB2312" w:hAnsi="仿宋_GB2312" w:eastAsia="仿宋_GB2312"/>
          <w:b w:val="0"/>
          <w:color w:val="000000"/>
          <w:sz w:val="32"/>
        </w:rPr>
        <w:t>化工新材料企业的盈利能力本质上由"价差"驱动，即产品价格与主要原料价格之间的差额。分析时应将毛利率变动拆解为量、价、成本三项因素：在行业景气上行期，价格上涨快于成本，毛利率扩张；在下行期，产品价格下跌而原料价格具有刚性，毛利率快速收窄甚至转负。判断盈利可持续性的关键，不在于某一年度毛利率的绝对高低，而在于企业在周期底部的成本分位——处于行业成本曲线左侧的企业能够在低谷期维持开工并挤出高成本产能，从而在复苏期获得超额收益。因此对维远化学的盈利评价，应重点考察其单位产品能耗、原料自供率、装置规模与一体化程度等决定成本位次的结构性因素。</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质量应关注应收账款（下游客户账期较长）、存货（化工品受价格下跌影响存在减值风险）及固定资产（重资产装置，在建工程转固进度需关注）。2025年总资产118.56亿元、净资产75.96亿元，资产结构总体稳健。建议核查坏账计提与存货跌价准备。</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公司2025年资产负债率35.93%，处于较低水平，有息债务规模相对可控。建议核查授信品种构成、期限结构、短期借款占比及抵质押安排，防范期限错配与再融资风险。</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维远化学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公司2025年经营现金流净额5.79亿元，为正且较好，显示主营业务现金回笼能力尚可。建议获取近三年现金流量表与主要银行账户流水，验证销售回款真实性与资本开支匹配度。</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维远化学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同业对标可选取聚碳酸酯与双酚A领域上市企业作为参照，关注其毛利率、资产负债率与经营现金流水平。需注意维远股份为国内首家全产品一体化企业，与同业在成本分位上差异较大，对比时应考虑结构性。</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作为民营控股上市公司，维远股份须建立股东大会、董事会、监事会与经理层各司其职、有效制衡的治理结构，设立独立董事及专门委员会。治理有效性的判断应考察制度实际运行与重大事项决策留痕。</w:t>
      </w:r>
    </w:p>
    <w:p>
      <w:pPr>
        <w:spacing w:lineRule="exact" w:line="600" w:before="0" w:after="0"/>
        <w:ind w:firstLine="420"/>
        <w:jc w:val="both"/>
      </w:pPr>
      <w:r>
        <w:rPr>
          <w:rFonts w:ascii="仿宋_GB2312" w:hAnsi="仿宋_GB2312" w:eastAsia="仿宋_GB2312"/>
          <w:b w:val="0"/>
          <w:color w:val="000000"/>
          <w:sz w:val="32"/>
        </w:rPr>
        <w:t>作为上市公司（或上市公司体系内主体），维远化学须建立股东大会、董事会、监事会（或审计委员会）与经理层各司其职、有效制衡的治理结构，设立独立董事并在董事会下设审计、薪酬与考核、战略等专门委员会，制定并执行《公司章程》《三会议事规则》《关联交易管理制度》《对外担保管理制度》《信息披露管理制度》《内幕信息知情人登记制度》等规范。治理有效性的判断不应停留于制度是否齐备，而应考察制度的实际运行：独立董事是否发表过实质性异议、关联交易是否履行回避表决程序、内部审计是否独立向审计委员会报告、是否存在被监管部门问询、警示或处罚的记录。</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公司管理层由控股股东利华益集团依照上市公司治理要求聘任，考核以经营业绩指标完成情况为主。民营控股属性使激励相对灵活，建议重点关注核心团队稳定性与激励机制落地。</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公司员工总数、学历与专业结构、参保人数未公开披露。作为化工新材料企业，生产与研发人员占比较高。建议核查研发人员占比、核心团队稳定性及流动率。</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利津县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应覆盖资金管理、采购与销售、存货与资产、关联交易及信息系统等环节。作为上市公司，其内控与合规要求较高，特别是安全环保与危化品管理。建议核查其内控审计结论及近三年是否存在重大内控缺陷。</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苯酚—双酚A—聚碳酸酯"全产业链一体化与非光气法PC工艺上，是国内首家全产品一体化企业，聚碳酸酯性能指标达国际领先水平并进入多个高端头部企业。技术壁垒的实质是"可持续的不可替代性"，一体化带来的成本与技术协同难以复制。</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维远化学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有三重来源：一是规模，双酚A约占国内4%份额带来单位固定成本摊薄；二是一体化，自有苯酚丙酮与自产氢气使双酚A、PC成本优势显著；三是非光气法工艺的差异化与园区要素成本节约。三者均属结构性优势。</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B端大客户壁垒表现为材料企业合格供应商认证与联合开发深度，进入需多轮审核与长期验证。维远股份PC产品成功进入家电、汽车、电子电气等高端头部企业，客户锁定扎实。</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利津高端树脂新材料集群为维远股份提供了要素共享、知识溢出与市场匹配三类外部经济，特别是利津化工园区261家企业的产业生态、园区基础设施配套，以及上下游就近协同。</w:t>
      </w:r>
    </w:p>
    <w:p>
      <w:pPr>
        <w:spacing w:lineRule="exact" w:line="600" w:before="0" w:after="0"/>
        <w:ind w:firstLine="420"/>
        <w:jc w:val="both"/>
      </w:pPr>
      <w:r>
        <w:rPr>
          <w:rFonts w:ascii="仿宋_GB2312" w:hAnsi="仿宋_GB2312" w:eastAsia="仿宋_GB2312"/>
          <w:b w:val="0"/>
          <w:color w:val="000000"/>
          <w:sz w:val="32"/>
        </w:rPr>
        <w:t>利津县高端树脂新材料特色产业集群为维远化学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维远化学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化工行业具有明显的强周期属性，产品价格受供需格局、原油与煤炭等上游原料价格、下游需求景气度多重影响。近年来国内聚碳酸酯等大宗化工品种进入产能集中释放期，价格与价差承压。对维远股份而言，行业景气下行致2025年归母转亏-9.92亿元，周期风险不可回避，只能通过降低成本分位、提高差异化程度削弱冲击。</w:t>
      </w:r>
    </w:p>
    <w:p>
      <w:pPr>
        <w:spacing w:lineRule="exact" w:line="600" w:before="0" w:after="0"/>
        <w:ind w:firstLine="420"/>
        <w:jc w:val="both"/>
      </w:pPr>
      <w:r>
        <w:rPr>
          <w:rFonts w:ascii="仿宋_GB2312" w:hAnsi="仿宋_GB2312" w:eastAsia="仿宋_GB2312"/>
          <w:b w:val="0"/>
          <w:color w:val="000000"/>
          <w:sz w:val="32"/>
        </w:rPr>
        <w:t>化工行业具有明显的强周期属性，产品价格受供需格局、原油与煤炭等上游原料价格、下游需求景气度多重影响。近年来国内多数大宗与通用化工品种进入产能集中释放期，价格与价差承压，行业利润向一体化、规模化、差异化企业集中。对企业而言，周期风险不可回避，只能通过降低成本分位、提高产品差异化程度、延伸高附加值产业链来削弱其冲击。金融机构在授信时应按周期底部情景进行压力测试，而非按景气高点的盈利水平核定额度。</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竞争风险的现实表现是价格战与份额侵蚀。聚碳酸酯环节产能过剩、加工费压缩，维远股份需在成本一体化与产品差异化上构筑非价格竞争优势。建议企业以全产业链成本优势抵御价格战。</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维远化学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客户集中度方面，若收入依赖少数下游头部客户，单一客户变动会造成冲击。建议建立客户信用评级与额度管理，并运用信用保险、保理等工具转移风险。</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供应链风险方面，维远股份自有苯酚丙酮与自产氢气使主要原料外部依赖较低，一体化显著降低了原料价格波动与断供风险；但仍需关注上游装置运行稳定性。</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化工生产涉及易燃易爆、有毒有害物料，安全环保风险是"一票否决"性质的风险。合规要点包括安全生产标准化达标、重大危险源监控、排污许可证执行报告、危废合法处置与转移联单管理等。建议将近三年安全环保行政处罚记录查询列为授信前置条件。</w:t>
      </w:r>
    </w:p>
    <w:p>
      <w:pPr>
        <w:spacing w:lineRule="exact" w:line="600" w:before="0" w:after="0"/>
        <w:ind w:firstLine="420"/>
        <w:jc w:val="both"/>
      </w:pPr>
      <w:r>
        <w:rPr>
          <w:rFonts w:ascii="仿宋_GB2312" w:hAnsi="仿宋_GB2312" w:eastAsia="仿宋_GB2312"/>
          <w:b w:val="0"/>
          <w:color w:val="000000"/>
          <w:sz w:val="32"/>
        </w:rPr>
        <w:t>化工与电池材料生产涉及易燃易爆、有毒有害物料，安全环保风险是该类企业最具"一票否决"性质的风险类别。一次较大事故不仅带来直接损失与行政处罚，更可能触发停产整顿、项目暂停审批乃至园区连带整治，对企业现金流造成毁灭性打击。合规要点包括安全生产标准化达标、重大危险源监控、特殊作业许可管理、双重预防机制运行、排污许可证执行报告、危废合法处置与转移联单管理等。建议将近三年安全环保行政处罚记录查询列为授信前置条件，并在贷后管理中持续监测。</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的核心是行业周期下的盈利转亏与再融资依赖。公司2025年经营现金流5.79亿元为正、资产负债率35.93%较低，财务结构总体稳健，但盈利修复节奏需关注。建议金融机构重点监测有息负债增长、票据融资占比及抵质押资产比例。</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治理风险方面，作为民营控股上市公司，需平衡控股股东意志与中小股东利益。建议核查关联交易合规与重大事项决策留痕。</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维远股份面临的主要风险集中于化工行业周期下行（2025年归母转亏-9.92亿元）、聚碳酸酯产能过剩竞争及客户集中度，但其国内首家全产业链一体化、非光气法工艺与较低资产负债率构成较强风险缓冲。整体风险等级中等，对其授信应重点关注盈利修复与行业景气度。</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从资金用途看，维远股份的融资需求主要源于资本性支出：丙烷脱氢、环氧丙烷、电解液溶剂及PC扩产等项目建设期限长、金额大，适配项目贷款、可转债与融资租赁；同时原料采购需要周转资金。</w:t>
      </w:r>
    </w:p>
    <w:p>
      <w:pPr>
        <w:spacing w:lineRule="exact" w:line="600" w:before="0" w:after="0"/>
        <w:ind w:firstLine="420"/>
        <w:jc w:val="both"/>
      </w:pPr>
      <w:r>
        <w:rPr>
          <w:rFonts w:ascii="仿宋_GB2312" w:hAnsi="仿宋_GB2312" w:eastAsia="仿宋_GB2312"/>
          <w:b w:val="0"/>
          <w:color w:val="000000"/>
          <w:sz w:val="32"/>
        </w:rPr>
        <w:t>从资金用途看，维远化学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商业保理方面，维远股份对下游高端客户的优质应收账款可作明保标的，且买方信用高，适配性较好；需做好基础资产确权与回款路径封闭管理。</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维远化学，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供应链金融方面，维远股份作为链主，可依托自身信用开展反向保理帮助上游原料供应商提前回款；亦可依托下游头部客户的订单与应付确认开展订单融资。</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维远化学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融资租赁方面，维远股份属于装置与设备投入密集型企业，可通过直接租赁更新装置与环保设备、通过售后回租盘活通用设备补充中长期资金。风控要点在于设备通用性与可处置性。</w:t>
      </w:r>
    </w:p>
    <w:p>
      <w:pPr>
        <w:spacing w:lineRule="exact" w:line="600" w:before="0" w:after="0"/>
        <w:ind w:firstLine="420"/>
        <w:jc w:val="both"/>
      </w:pPr>
      <w:r>
        <w:rPr>
          <w:rFonts w:ascii="仿宋_GB2312" w:hAnsi="仿宋_GB2312" w:eastAsia="仿宋_GB2312"/>
          <w:b w:val="0"/>
          <w:color w:val="000000"/>
          <w:sz w:val="32"/>
        </w:rPr>
        <w:t>维远化学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小额贷款方面，更适配于维远股份链上配套小微企业的应急周转与批量普惠授信，成本高于银行信贷，不宜作为长期主渠道。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维远化学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维远股份采取"项目融资为主、自偿性贸易融资为辅、普惠工具补充"的组合策略：资本开支匹配项目贷款与融资租赁；营运资金优先通过保理与供应链融资解决。共通风控要点包括交易真实性核验、回款路径封闭管理及集团与区域集中度管控。</w:t>
      </w:r>
    </w:p>
    <w:p>
      <w:pPr>
        <w:spacing w:lineRule="exact" w:line="600" w:before="0" w:after="0"/>
        <w:ind w:firstLine="420"/>
        <w:jc w:val="both"/>
      </w:pPr>
      <w:r>
        <w:rPr>
          <w:rFonts w:ascii="仿宋_GB2312" w:hAnsi="仿宋_GB2312" w:eastAsia="仿宋_GB2312"/>
          <w:b w:val="0"/>
          <w:color w:val="000000"/>
          <w:sz w:val="32"/>
        </w:rPr>
        <w:t>综合上述分析，建议对维远化学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维远股份是利津高端树脂新材料集群的骨干上市企业（600955.SH），国内首家"苯酚—双酚A—聚碳酸酯"全产品一体化企业，双酚A约占国内4%份额，2025年营收87.68亿元、总资产118.56亿元、资产负债率35.93%。其全产业链一体化与非光气法PC工艺构成深厚壁垒，但行业周期下行致2025年归母转亏-9.92亿元，是当前主要压力。</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在化工新材料高端化与进口替代背景下，维远股份依托全产业链一体化、非光气法工艺与新能源链条延伸（电解液溶剂），有望随行业景气回升改善盈利。建议关注其PC扩产达产、电解液溶剂投产与盈利修复节奏。</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建议维远股份在三个方面持续改进：一是强化降本与产品升级，改善盈利质量；二是优化债务结构与期限匹配；三是强化安全环保与质量合规基础管理。</w:t>
      </w:r>
    </w:p>
    <w:p>
      <w:pPr>
        <w:spacing w:lineRule="exact" w:line="600" w:before="0" w:after="0"/>
        <w:ind w:firstLine="420"/>
        <w:jc w:val="both"/>
      </w:pPr>
      <w:r>
        <w:rPr>
          <w:rFonts w:ascii="仿宋_GB2312" w:hAnsi="仿宋_GB2312" w:eastAsia="仿宋_GB2312"/>
          <w:b w:val="0"/>
          <w:color w:val="000000"/>
          <w:sz w:val="32"/>
        </w:rPr>
        <w:t>此外，建议维远化学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对金融机构而言，服务维远股份应确立"看产业链、看一体化、看场景"思路，以项目贷款与融资租赁匹配其重资产建设，以供应链金融解决周转，并持续监测盈利修复与行业景气度。</w:t>
      </w:r>
    </w:p>
    <w:p>
      <w:pPr>
        <w:spacing w:lineRule="exact" w:line="600" w:before="0" w:after="0"/>
        <w:ind w:firstLine="420"/>
        <w:jc w:val="both"/>
      </w:pPr>
      <w:r>
        <w:rPr>
          <w:rFonts w:ascii="仿宋_GB2312" w:hAnsi="仿宋_GB2312" w:eastAsia="仿宋_GB2312"/>
          <w:b w:val="0"/>
          <w:color w:val="000000"/>
          <w:sz w:val="32"/>
        </w:rPr>
        <w:t>总体而言，服务利津县高端树脂新材料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利华益维远化学股份有限公司2023年、2024年年度报告及2025年第三季度报告。</w:t>
      </w:r>
    </w:p>
    <w:p>
      <w:pPr>
        <w:spacing w:lineRule="exact" w:line="600" w:before="0" w:after="0"/>
        <w:jc w:val="left"/>
      </w:pPr>
      <w:r>
        <w:rPr>
          <w:rFonts w:ascii="仿宋_GB2312" w:hAnsi="仿宋_GB2312" w:eastAsia="仿宋_GB2312"/>
          <w:b w:val="0"/>
          <w:color w:val="000000"/>
          <w:sz w:val="28"/>
        </w:rPr>
        <w:t>利津县公开产业介绍材料（2024）。</w:t>
      </w:r>
    </w:p>
    <w:p>
      <w:pPr>
        <w:spacing w:lineRule="exact" w:line="600" w:before="0" w:after="0"/>
        <w:jc w:val="left"/>
      </w:pPr>
      <w:r>
        <w:rPr>
          <w:rFonts w:ascii="仿宋_GB2312" w:hAnsi="仿宋_GB2312" w:eastAsia="仿宋_GB2312"/>
          <w:b w:val="0"/>
          <w:color w:val="000000"/>
          <w:sz w:val="28"/>
        </w:rPr>
        <w:t>企业公开宣传与媒体报道。</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