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博兴县金属板材特色产业集群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山东富海材料科技有限公司企业分析报告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博兴县企业家节公开报道（iapp.zhihuiboxing.cn）及公司公开信息等渠道，统计时点截至2025年公开信息。该公司为非上市民营企业，经审计财务数据未公开披露；文中"营销额30多亿元"为公开媒体报道口径，非经审计数据，已注明。）</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富海材料科技有限公司成立于2011年6月30日，法定代表人郑经芳，注册资本4,511万元（实缴资本4,511万元），统一社会信用代码91371625577780099Y，注册地址位于山东省滨州市博兴县经济开发区富源二路96号。公司所属行业为涂镀钢板制造，经营范围包括：镀铝锌硅钢板、印花板、彩涂板生产销售；热镀锌板、彩涂板、镀铝锌板、不锈钢、冷轧板、酸洗热轧卷、硅钢板、镀铝镁锌钢板、彩涂铝板、纳米板等销售；农作物种植销售；钢结构工程；装配式房屋安装销售；备案范围内进出口业务等。公司登记状态为存续，系增值税一般纳税人，A级纳税人，被认定为小微企业、专精特新中小企业。</w:t>
      </w:r>
    </w:p>
    <w:p>
      <w:pPr>
        <w:spacing w:lineRule="exact" w:line="600" w:before="0" w:after="0"/>
        <w:ind w:firstLine="420"/>
        <w:jc w:val="both"/>
      </w:pPr>
      <w:r>
        <w:rPr>
          <w:rFonts w:ascii="仿宋_GB2312" w:hAnsi="仿宋_GB2312" w:eastAsia="仿宋_GB2312"/>
          <w:b w:val="0"/>
          <w:color w:val="000000"/>
          <w:sz w:val="32"/>
        </w:rPr>
        <w:t>股权结构方面，公司由郑经芳持股75%、蔺娜持股25%，郑经芳任执行董事兼经理，为控股股东、实际控制人及受益所有人；蔺娜任监事。公司无国有股东。董事长韩克刚为实际创办人（2011年创办富海，2007年创办聚鑫源精密薄板），系山东省工商联执委、滨州市工商联副主席。</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公司系单一法人主体，公开渠道披露其对外投资1—2家企业。内部设生产、研发、销售、采购等部门。据公开报道，公司员工由初创几十人发展至700余人，占地340余亩，属集群内大型涂镀制造企业。</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2011年韩克刚创办富海材料，从一条低端镀锌线起步，逐步发展为拥有镀铝锌镁、镀铝锌（55%Al）、镀锌、多功能彩涂、封闭式彩涂等七条高端生产线的综合涂镀企业；营销额由最初几千万元增长至公开报道的30多亿元，彩涂板出口量连续7年全国第一，成为国内极具影响力的热浸镀铝锌硅钢板、彩涂钢板生产销售企业之一。</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集自主研发、生产、销售于一体的高端涂镀产品制造企业，是博兴县金属板材集群代表。主营业务为镀锌板、镀铝锌板、锌铝镁板、彩涂板、铝镁锰板等涂镀钢板的生产与销售，产品广泛应用于公共建筑、工业厂房、家电板等领域，并以出口为主（出口份额占60%以上）。</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公司业务以涂镀钢板（镀锌、镀铝锌、锌铝镁、彩涂）的生产与销售为核心，出口占比超60%。据公开报道，公司营销额达30多亿元（非审计口径），具体收入构成未公开披露。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主要产品包括镀铝锌硅钢板（55%Al）、印花板、彩涂板、热镀锌板、镀铝镁锌板、彩涂铝板、纳米板等；具备年产能140余万吨的综合生产能力。核心方向为高端镀层与彩涂，彩涂板出口量连续7年全国第一。</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客户覆盖国内外高端市场：国内面向公共建筑、工业厂房、家电企业；海外销往东南亚、中东、中亚、南美、欧洲、非洲等86个国家和地区，出口份额占60%以上。前五大客户名称未公开披露。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主要采购热轧/冷轧基材及锌、铝等镀层原料，依托博兴板材集群配套。原材料（钢材、锌铝）价格波动为主要成本变量。</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340余亩，年产能140余万吨；拥有高标准镀铝锌硅（55%Al）生产线2条、镀锌线1条、多功能彩涂线1条、封闭式高洁净彩涂线2条；持有进出口资质，获"山东名牌""山东省著名商标"、专精特新中小企业、A级纳税人等认定；核心发明专利10项、实用新型专利64项，设有独立科研中心。</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采用"国内+国际"双市场：国内通过直销与经销覆盖高端建筑/家电市场；海外依托自营与代理商网络出口86个国家和地区，出口份额超60%，渠道全球化程度高。</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据公开报道，公司营销额30多亿元（非审计口径），彩涂板出口量连续7年全国第一，出口份额超60%。具体产量、销量及细分市场份额缺少经审计公开数据。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山东富海材料科技有限公司为非上市民营企业，未公开披露经审计财务报告，近三年主要会计数据无法通过公开渠道获取。本节基于工商及公开报道作定性分析；"营销额30多亿元"为媒体报道口径，非审计数据。</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指标</w:t>
            </w:r>
          </w:p>
        </w:tc>
        <w:tc>
          <w:tcPr>
            <w:tcW w:type="dxa" w:w="2154"/>
          </w:tcPr>
          <w:p>
            <w:pPr>
              <w:spacing w:lineRule="exact" w:line="600"/>
              <w:jc w:val="center"/>
            </w:pPr>
            <w:r/>
            <w:r>
              <w:rPr>
                <w:rFonts w:ascii="黑体" w:hAnsi="黑体" w:eastAsia="黑体"/>
                <w:b/>
                <w:color w:val="000000"/>
                <w:sz w:val="32"/>
              </w:rPr>
              <w:t>2022年</w:t>
            </w:r>
          </w:p>
        </w:tc>
        <w:tc>
          <w:tcPr>
            <w:tcW w:type="dxa" w:w="2154"/>
          </w:tcPr>
          <w:p>
            <w:pPr>
              <w:spacing w:lineRule="exact" w:line="600"/>
              <w:jc w:val="center"/>
            </w:pPr>
            <w:r/>
            <w:r>
              <w:rPr>
                <w:rFonts w:ascii="黑体" w:hAnsi="黑体" w:eastAsia="黑体"/>
                <w:b/>
                <w:color w:val="000000"/>
                <w:sz w:val="32"/>
              </w:rPr>
              <w:t>2023年</w:t>
            </w:r>
          </w:p>
        </w:tc>
        <w:tc>
          <w:tcPr>
            <w:tcW w:type="dxa" w:w="2154"/>
          </w:tcPr>
          <w:p>
            <w:pPr>
              <w:spacing w:lineRule="exact" w:line="600"/>
              <w:jc w:val="center"/>
            </w:pPr>
            <w:r/>
            <w:r>
              <w:rPr>
                <w:rFonts w:ascii="黑体" w:hAnsi="黑体" w:eastAsia="黑体"/>
                <w:b/>
                <w:color w:val="000000"/>
                <w:sz w:val="32"/>
              </w:rPr>
              <w:t>2024年</w:t>
            </w:r>
          </w:p>
        </w:tc>
      </w:tr>
      <w:tr>
        <w:tc>
          <w:tcPr>
            <w:tcW w:type="dxa" w:w="2835"/>
          </w:tcPr>
          <w:p>
            <w:pPr>
              <w:spacing w:lineRule="exact" w:line="600"/>
              <w:jc w:val="center"/>
            </w:pPr>
            <w:r/>
            <w:r>
              <w:rPr>
                <w:rFonts w:ascii="仿宋_GB2312" w:hAnsi="仿宋_GB2312" w:eastAsia="仿宋_GB2312"/>
                <w:b w:val="0"/>
                <w:color w:val="000000"/>
                <w:sz w:val="32"/>
              </w:rPr>
              <w:t>营业收入（亿元）</w:t>
            </w:r>
          </w:p>
        </w:tc>
        <w:tc>
          <w:tcPr>
            <w:tcW w:type="dxa" w:w="2154"/>
          </w:tcPr>
          <w:p>
            <w:pPr>
              <w:spacing w:lineRule="exact" w:line="600"/>
              <w:jc w:val="center"/>
            </w:pPr>
            <w:r/>
            <w:r>
              <w:rPr>
                <w:rFonts w:ascii="仿宋_GB2312" w:hAnsi="仿宋_GB2312" w:eastAsia="仿宋_GB2312"/>
                <w:b w:val="0"/>
                <w:color w:val="000000"/>
                <w:sz w:val="32"/>
              </w:rPr>
              <w:t>未公开披露（媒体报道约30+亿，非审计）</w:t>
            </w:r>
          </w:p>
        </w:tc>
        <w:tc>
          <w:tcPr>
            <w:tcW w:type="dxa" w:w="2154"/>
          </w:tcPr>
          <w:p>
            <w:pPr>
              <w:spacing w:lineRule="exact" w:line="600"/>
              <w:jc w:val="center"/>
            </w:pPr>
            <w:r/>
            <w:r>
              <w:rPr>
                <w:rFonts w:ascii="仿宋_GB2312" w:hAnsi="仿宋_GB2312" w:eastAsia="仿宋_GB2312"/>
                <w:b w:val="0"/>
                <w:color w:val="000000"/>
                <w:sz w:val="32"/>
              </w:rPr>
              <w:t>未公开披露（媒体报道约30+亿，非审计）</w:t>
            </w:r>
          </w:p>
        </w:tc>
        <w:tc>
          <w:tcPr>
            <w:tcW w:type="dxa" w:w="2154"/>
          </w:tcPr>
          <w:p>
            <w:pPr>
              <w:spacing w:lineRule="exact" w:line="600"/>
              <w:jc w:val="center"/>
            </w:pPr>
            <w:r/>
            <w:r>
              <w:rPr>
                <w:rFonts w:ascii="仿宋_GB2312" w:hAnsi="仿宋_GB2312" w:eastAsia="仿宋_GB2312"/>
                <w:b w:val="0"/>
                <w:color w:val="000000"/>
                <w:sz w:val="32"/>
              </w:rPr>
              <w:t>未公开披露（媒体报道约30+亿，非审计）</w:t>
            </w:r>
          </w:p>
        </w:tc>
      </w:tr>
      <w:tr>
        <w:tc>
          <w:tcPr>
            <w:tcW w:type="dxa" w:w="2835"/>
          </w:tcPr>
          <w:p>
            <w:pPr>
              <w:spacing w:lineRule="exact" w:line="600"/>
              <w:jc w:val="center"/>
            </w:pPr>
            <w:r/>
            <w:r>
              <w:rPr>
                <w:rFonts w:ascii="仿宋_GB2312" w:hAnsi="仿宋_GB2312" w:eastAsia="仿宋_GB2312"/>
                <w:b w:val="0"/>
                <w:color w:val="000000"/>
                <w:sz w:val="32"/>
              </w:rPr>
              <w:t>净利润（亿元）</w:t>
            </w:r>
          </w:p>
        </w:tc>
        <w:tc>
          <w:tcPr>
            <w:tcW w:type="dxa" w:w="2154"/>
          </w:tcPr>
          <w:p>
            <w:pPr>
              <w:spacing w:lineRule="exact" w:line="600"/>
              <w:jc w:val="center"/>
            </w:pPr>
            <w:r/>
            <w:r>
              <w:rPr>
                <w:rFonts w:ascii="仿宋_GB2312" w:hAnsi="仿宋_GB2312" w:eastAsia="仿宋_GB2312"/>
                <w:b w:val="0"/>
                <w:color w:val="000000"/>
                <w:sz w:val="32"/>
              </w:rPr>
              <w:t>未公开披露</w:t>
            </w:r>
          </w:p>
        </w:tc>
        <w:tc>
          <w:tcPr>
            <w:tcW w:type="dxa" w:w="2154"/>
          </w:tcPr>
          <w:p>
            <w:pPr>
              <w:spacing w:lineRule="exact" w:line="600"/>
              <w:jc w:val="center"/>
            </w:pPr>
            <w:r/>
            <w:r>
              <w:rPr>
                <w:rFonts w:ascii="仿宋_GB2312" w:hAnsi="仿宋_GB2312" w:eastAsia="仿宋_GB2312"/>
                <w:b w:val="0"/>
                <w:color w:val="000000"/>
                <w:sz w:val="32"/>
              </w:rPr>
              <w:t>未公开披露</w:t>
            </w:r>
          </w:p>
        </w:tc>
        <w:tc>
          <w:tcPr>
            <w:tcW w:type="dxa" w:w="2154"/>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毛利率</w:t>
            </w:r>
          </w:p>
        </w:tc>
        <w:tc>
          <w:tcPr>
            <w:tcW w:type="dxa" w:w="2154"/>
          </w:tcPr>
          <w:p>
            <w:pPr>
              <w:spacing w:lineRule="exact" w:line="600"/>
              <w:jc w:val="center"/>
            </w:pPr>
            <w:r/>
            <w:r>
              <w:rPr>
                <w:rFonts w:ascii="仿宋_GB2312" w:hAnsi="仿宋_GB2312" w:eastAsia="仿宋_GB2312"/>
                <w:b w:val="0"/>
                <w:color w:val="000000"/>
                <w:sz w:val="32"/>
              </w:rPr>
              <w:t>未公开披露</w:t>
            </w:r>
          </w:p>
        </w:tc>
        <w:tc>
          <w:tcPr>
            <w:tcW w:type="dxa" w:w="2154"/>
          </w:tcPr>
          <w:p>
            <w:pPr>
              <w:spacing w:lineRule="exact" w:line="600"/>
              <w:jc w:val="center"/>
            </w:pPr>
            <w:r/>
            <w:r>
              <w:rPr>
                <w:rFonts w:ascii="仿宋_GB2312" w:hAnsi="仿宋_GB2312" w:eastAsia="仿宋_GB2312"/>
                <w:b w:val="0"/>
                <w:color w:val="000000"/>
                <w:sz w:val="32"/>
              </w:rPr>
              <w:t>未公开披露</w:t>
            </w:r>
          </w:p>
        </w:tc>
        <w:tc>
          <w:tcPr>
            <w:tcW w:type="dxa" w:w="2154"/>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2154"/>
          </w:tcPr>
          <w:p>
            <w:pPr>
              <w:spacing w:lineRule="exact" w:line="600"/>
              <w:jc w:val="center"/>
            </w:pPr>
            <w:r/>
            <w:r>
              <w:rPr>
                <w:rFonts w:ascii="仿宋_GB2312" w:hAnsi="仿宋_GB2312" w:eastAsia="仿宋_GB2312"/>
                <w:b w:val="0"/>
                <w:color w:val="000000"/>
                <w:sz w:val="32"/>
              </w:rPr>
              <w:t>未公开披露</w:t>
            </w:r>
          </w:p>
        </w:tc>
        <w:tc>
          <w:tcPr>
            <w:tcW w:type="dxa" w:w="2154"/>
          </w:tcPr>
          <w:p>
            <w:pPr>
              <w:spacing w:lineRule="exact" w:line="600"/>
              <w:jc w:val="center"/>
            </w:pPr>
            <w:r/>
            <w:r>
              <w:rPr>
                <w:rFonts w:ascii="仿宋_GB2312" w:hAnsi="仿宋_GB2312" w:eastAsia="仿宋_GB2312"/>
                <w:b w:val="0"/>
                <w:color w:val="000000"/>
                <w:sz w:val="32"/>
              </w:rPr>
              <w:t>未公开披露</w:t>
            </w:r>
          </w:p>
        </w:tc>
        <w:tc>
          <w:tcPr>
            <w:tcW w:type="dxa" w:w="2154"/>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经营活动现金流（亿元）</w:t>
            </w:r>
          </w:p>
        </w:tc>
        <w:tc>
          <w:tcPr>
            <w:tcW w:type="dxa" w:w="2154"/>
          </w:tcPr>
          <w:p>
            <w:pPr>
              <w:spacing w:lineRule="exact" w:line="600"/>
              <w:jc w:val="center"/>
            </w:pPr>
            <w:r/>
            <w:r>
              <w:rPr>
                <w:rFonts w:ascii="仿宋_GB2312" w:hAnsi="仿宋_GB2312" w:eastAsia="仿宋_GB2312"/>
                <w:b w:val="0"/>
                <w:color w:val="000000"/>
                <w:sz w:val="32"/>
              </w:rPr>
              <w:t>未公开披露</w:t>
            </w:r>
          </w:p>
        </w:tc>
        <w:tc>
          <w:tcPr>
            <w:tcW w:type="dxa" w:w="2154"/>
          </w:tcPr>
          <w:p>
            <w:pPr>
              <w:spacing w:lineRule="exact" w:line="600"/>
              <w:jc w:val="center"/>
            </w:pPr>
            <w:r/>
            <w:r>
              <w:rPr>
                <w:rFonts w:ascii="仿宋_GB2312" w:hAnsi="仿宋_GB2312" w:eastAsia="仿宋_GB2312"/>
                <w:b w:val="0"/>
                <w:color w:val="000000"/>
                <w:sz w:val="32"/>
              </w:rPr>
              <w:t>未公开披露</w:t>
            </w:r>
          </w:p>
        </w:tc>
        <w:tc>
          <w:tcPr>
            <w:tcW w:type="dxa" w:w="2154"/>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缺乏经审计财务数据，无法计算盈利指标。公司营收规模（报道30+亿）、出口占比高、品牌（山东名牌）溢价较强，盈利能力应居集群前列，但具体盈利规模未公开。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公司注册资本4,511万元（全额实缴），资产以七条高端产线设备、厂房（340余亩）、存货、应收账款为主，资产规模较大。具体数据未公开披露。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资产负债率及有息债务规模未公开披露。作为出口型制造企业，融资主要依赖银行信贷，偿债情况缺少公开数据。</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经营活动现金流净额未公开披露。出口业务回款周期与汇率波动可能影响现金流，具体数据缺失。</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可比经审计财务数据缺失。公司与华韵、明锐同处博兴集群，出口与彩涂领域全国领先（彩涂出口连续7年第一），规模与品牌优势突出。</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公司为自然人投资或控股的有限责任公司，设法定代表人/执行董事（郑经芳）与监事（蔺娜），董事长韩克刚为创办人，决策层由创始团队主导。</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郑经芳任法定代表人、执行董事兼经理；韩克刚任董事长，为博兴金属板业商会党总支书记、滨州市工商联副主席，多次获山东省诚信企业家等荣誉。</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公司设独立科研中心，配备先进检测设备，建立产品性能检测与创新研发体系；通过品牌与质量管理（山东名牌、著名商标）体现内控水平。</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据公开报道，公司员工由初创几十人发展至700余人，研发与技术团队规模较大，人才储备在集群内领先。</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出口龙头地位：彩涂板出口量连续7年全国第一，出口86国、占比超60%，全球渠道与客户壁垒极高。二是产能与装备：7条高端产线、年产能140余万吨，规模与装备领先。三是技术与品牌：核心发明专利10项、实用新型64项，"山东名牌""山东省著名商标"背书。四是产品高端化：聚焦镀铝锌（55%Al）、锌铝镁、纳米板等高附加值产品。五是区位集群：博兴板材集散地配套与物流优势。</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钢材与镀层价格波动直接影响利润。二是国际贸易风险：出口占比超60%，受地缘政治、关税、反倾销及汇率波动影响显著。三是环保与能耗风险：涂镀属重点监管行业，环保合规成本上升。四是客户与回款风险：海外大客户回款与汇率风险。五是诉讼与合规风险：据天眼查，公司存在一定数量风险信息及司法案件，需关注合同履行与债务。应对措施包括市场多元化、强化品牌与研发、规范法务与环保合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探讨：一是供应链金融，针对基材采购与出口销售提供应收账款保理、订单融资，尤其支持出口应收账款保理；二是融资租赁，支持产线智能化、绿色化改造；三是商业保理，盘活海外客户应收；四是小贷，满足收料与周转资金。授信前需尽调，重点核实真实出口订单、汇率风险与还款来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山东富海材料科技有限公司是博兴金属板材集群中出口与品牌双领先的龙头企业，彩涂出口连续7年全国第一、年产能140余万吨，规模与国际化优势突出，但财务透明度低、出口依赖度高。未来应聚焦：高端镀层产品升级、出口市场多元化、绿色低碳与智能改造。挑战在于贸易环境与行业周期。建议公司规范财务披露、完善治理，并借助产业金融与集群升级巩固全球竞争优势。</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国家企业信用信息公示系统、天眼查（company/1566704979）、爱企查、博兴县企业家节公开报道（iapp.zhihuiboxing.cn）、公司官网（jxyjmbb.com）等渠道，统计时点截至2025年公开信息。经审计财务数据未公开披露；"营销额30多亿元"为公开媒体报道口径，已注明非审计。</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